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BF0EC3" w14:textId="58A076F4" w:rsidR="00866FB8" w:rsidRPr="0008304C" w:rsidRDefault="0008304C" w:rsidP="0008304C">
      <w:pPr>
        <w:spacing w:after="0" w:line="276" w:lineRule="auto"/>
        <w:jc w:val="both"/>
        <w:rPr>
          <w:rFonts w:ascii="Segoe UI Semibold" w:hAnsi="Segoe UI Semibold" w:cs="Segoe UI Semibold"/>
          <w:b/>
          <w:bCs/>
          <w:sz w:val="28"/>
          <w:szCs w:val="28"/>
        </w:rPr>
      </w:pPr>
      <w:r w:rsidRPr="0008304C">
        <w:rPr>
          <w:rFonts w:ascii="Segoe UI Semibold" w:hAnsi="Segoe UI Semibold" w:cs="Segoe UI Semibold"/>
          <w:b/>
          <w:bCs/>
          <w:sz w:val="28"/>
          <w:szCs w:val="28"/>
        </w:rPr>
        <w:t>REPRESENTAÇÃO AO CONSELHO FEDERAL DA ORDEM DOS ADVOGADOS DO BRASIL</w:t>
      </w:r>
      <w:r>
        <w:rPr>
          <w:rFonts w:ascii="Segoe UI Semibold" w:hAnsi="Segoe UI Semibold" w:cs="Segoe UI Semibold"/>
          <w:b/>
          <w:bCs/>
          <w:sz w:val="28"/>
          <w:szCs w:val="28"/>
        </w:rPr>
        <w:t xml:space="preserve"> - CFOAB</w:t>
      </w:r>
    </w:p>
    <w:p w14:paraId="76A5EDA2" w14:textId="77777777" w:rsidR="00866FB8" w:rsidRDefault="00866FB8" w:rsidP="00866FB8">
      <w:pPr>
        <w:spacing w:line="276" w:lineRule="auto"/>
        <w:jc w:val="both"/>
        <w:rPr>
          <w:rFonts w:ascii="Segoe UI Semibold" w:hAnsi="Segoe UI Semibold" w:cs="Segoe UI Semibold"/>
          <w:b/>
          <w:bCs/>
          <w:sz w:val="28"/>
          <w:szCs w:val="28"/>
        </w:rPr>
      </w:pPr>
    </w:p>
    <w:p w14:paraId="5E6A7DC9" w14:textId="77777777" w:rsidR="002E32AA" w:rsidRDefault="002E32AA" w:rsidP="00866FB8">
      <w:pPr>
        <w:spacing w:line="276" w:lineRule="auto"/>
        <w:jc w:val="both"/>
        <w:rPr>
          <w:rFonts w:ascii="Segoe UI Semibold" w:hAnsi="Segoe UI Semibold" w:cs="Segoe UI Semibold"/>
          <w:b/>
          <w:bCs/>
          <w:sz w:val="28"/>
          <w:szCs w:val="28"/>
        </w:rPr>
      </w:pPr>
    </w:p>
    <w:p w14:paraId="5318217D" w14:textId="27DF987D" w:rsidR="0008304C" w:rsidRPr="00276A49" w:rsidRDefault="002E32AA" w:rsidP="00866FB8">
      <w:pPr>
        <w:spacing w:line="276" w:lineRule="auto"/>
        <w:jc w:val="both"/>
        <w:rPr>
          <w:rFonts w:ascii="Segoe UI Semibold" w:hAnsi="Segoe UI Semibold" w:cs="Segoe UI Semibold"/>
          <w:sz w:val="28"/>
          <w:szCs w:val="28"/>
        </w:rPr>
      </w:pPr>
      <w:r w:rsidRPr="002E32AA">
        <w:rPr>
          <w:rFonts w:ascii="Segoe UI Semibold" w:hAnsi="Segoe UI Semibold" w:cs="Segoe UI Semibold"/>
          <w:b/>
          <w:bCs/>
          <w:sz w:val="28"/>
          <w:szCs w:val="28"/>
        </w:rPr>
        <w:t xml:space="preserve">REPRESENTAÇÃO </w:t>
      </w:r>
      <w:r w:rsidRPr="00276A49">
        <w:rPr>
          <w:rFonts w:ascii="Segoe UI Semibold" w:hAnsi="Segoe UI Semibold" w:cs="Segoe UI Semibold"/>
          <w:sz w:val="28"/>
          <w:szCs w:val="28"/>
        </w:rPr>
        <w:t>em face da Portaria GDT nº 004/2026</w:t>
      </w:r>
      <w:r w:rsidRPr="00276A49">
        <w:rPr>
          <w:rFonts w:ascii="Segoe UI Semibold" w:hAnsi="Segoe UI Semibold" w:cs="Segoe UI Semibold"/>
          <w:sz w:val="28"/>
          <w:szCs w:val="28"/>
        </w:rPr>
        <w:t xml:space="preserve"> - OAB</w:t>
      </w:r>
      <w:r w:rsidRPr="00276A49">
        <w:rPr>
          <w:rFonts w:ascii="Segoe UI Semibold" w:hAnsi="Segoe UI Semibold" w:cs="Segoe UI Semibold"/>
          <w:sz w:val="28"/>
          <w:szCs w:val="28"/>
        </w:rPr>
        <w:t>/</w:t>
      </w:r>
      <w:r w:rsidRPr="00276A49">
        <w:rPr>
          <w:rFonts w:ascii="Segoe UI Semibold" w:hAnsi="Segoe UI Semibold" w:cs="Segoe UI Semibold"/>
          <w:sz w:val="28"/>
          <w:szCs w:val="28"/>
        </w:rPr>
        <w:t>SP</w:t>
      </w:r>
    </w:p>
    <w:p w14:paraId="44AE2989" w14:textId="77777777" w:rsidR="00A05F9F" w:rsidRDefault="00A05F9F" w:rsidP="00866FB8">
      <w:pPr>
        <w:spacing w:line="276" w:lineRule="auto"/>
        <w:jc w:val="both"/>
        <w:rPr>
          <w:rFonts w:ascii="Segoe UI Semibold" w:hAnsi="Segoe UI Semibold" w:cs="Segoe UI Semibold"/>
          <w:b/>
          <w:bCs/>
          <w:sz w:val="28"/>
          <w:szCs w:val="28"/>
        </w:rPr>
      </w:pPr>
    </w:p>
    <w:p w14:paraId="56B05E19" w14:textId="77777777" w:rsidR="00D43CBC" w:rsidRDefault="00D43CBC" w:rsidP="00D43CBC">
      <w:pPr>
        <w:spacing w:after="0" w:line="276" w:lineRule="auto"/>
        <w:rPr>
          <w:rFonts w:ascii="Segoe UI Semibold" w:hAnsi="Segoe UI Semibold" w:cs="Segoe UI Semibold"/>
          <w:b/>
          <w:bCs/>
          <w:sz w:val="24"/>
          <w:szCs w:val="24"/>
        </w:rPr>
      </w:pPr>
    </w:p>
    <w:p w14:paraId="518C837A" w14:textId="4F8BDED5" w:rsidR="0008304C" w:rsidRDefault="00110806" w:rsidP="0008304C">
      <w:pPr>
        <w:spacing w:line="276" w:lineRule="auto"/>
        <w:ind w:firstLine="567"/>
        <w:jc w:val="both"/>
        <w:rPr>
          <w:rFonts w:ascii="Cambria" w:hAnsi="Cambria" w:cs="Times New Roman"/>
          <w:sz w:val="26"/>
          <w:szCs w:val="26"/>
        </w:rPr>
      </w:pPr>
      <w:r w:rsidRPr="00110806">
        <w:rPr>
          <w:rFonts w:ascii="Cambria" w:hAnsi="Cambria" w:cs="Times New Roman"/>
          <w:b/>
          <w:bCs/>
          <w:sz w:val="26"/>
          <w:szCs w:val="26"/>
        </w:rPr>
        <w:t>FULANO DE TAL SILVA</w:t>
      </w:r>
      <w:r w:rsidRPr="00110806">
        <w:rPr>
          <w:rFonts w:ascii="Cambria" w:hAnsi="Cambria" w:cs="Times New Roman"/>
          <w:sz w:val="26"/>
          <w:szCs w:val="26"/>
        </w:rPr>
        <w:t>, brasileiro, casado, advogado, inscrito na OAB/CE sob o nº 99.999, portador do CPF nº 000.000.000-00, com endereço profissional na Rua Exemplo, nº 100, Centro, Fortaleza/CE, CEP 60000-000</w:t>
      </w:r>
      <w:r w:rsidR="0008304C" w:rsidRPr="0008304C">
        <w:rPr>
          <w:rFonts w:ascii="Cambria" w:hAnsi="Cambria" w:cs="Times New Roman"/>
          <w:sz w:val="26"/>
          <w:szCs w:val="26"/>
        </w:rPr>
        <w:t>, vem, respeitosamente, à presença do Conselho Federal da Ordem dos Advogados do Brasil, com fundamento no art. 54, VIII, da Lei nº 8.906/1994, apresentar a presente</w:t>
      </w:r>
      <w:r w:rsidR="00A05F9F">
        <w:rPr>
          <w:rFonts w:ascii="Cambria" w:hAnsi="Cambria" w:cs="Times New Roman"/>
          <w:sz w:val="26"/>
          <w:szCs w:val="26"/>
        </w:rPr>
        <w:t xml:space="preserve"> </w:t>
      </w:r>
      <w:r w:rsidR="0008304C" w:rsidRPr="00A05F9F">
        <w:rPr>
          <w:rFonts w:ascii="Cambria" w:hAnsi="Cambria" w:cs="Times New Roman"/>
          <w:b/>
          <w:bCs/>
          <w:sz w:val="26"/>
          <w:szCs w:val="26"/>
        </w:rPr>
        <w:t xml:space="preserve">REPRESENTAÇÃO </w:t>
      </w:r>
      <w:r w:rsidR="0008304C" w:rsidRPr="0008304C">
        <w:rPr>
          <w:rFonts w:ascii="Cambria" w:hAnsi="Cambria" w:cs="Times New Roman"/>
          <w:sz w:val="26"/>
          <w:szCs w:val="26"/>
        </w:rPr>
        <w:t>em face da Portaria GDT nº 004/2026, da Ordem dos Advogados do Brasil – Seção de São Paulo, pelos fundamentos de fato e de direito a seguir expostos.</w:t>
      </w:r>
    </w:p>
    <w:p w14:paraId="13F6FCE6" w14:textId="77777777" w:rsidR="0008304C" w:rsidRDefault="0008304C" w:rsidP="00043B03">
      <w:pPr>
        <w:spacing w:line="276" w:lineRule="auto"/>
        <w:ind w:firstLine="567"/>
        <w:jc w:val="both"/>
        <w:rPr>
          <w:rFonts w:ascii="Cambria" w:hAnsi="Cambria" w:cs="Times New Roman"/>
          <w:sz w:val="26"/>
          <w:szCs w:val="26"/>
        </w:rPr>
      </w:pPr>
    </w:p>
    <w:p w14:paraId="06BDE63C" w14:textId="2B3F6386" w:rsidR="0008304C" w:rsidRDefault="0008304C" w:rsidP="00A05F9F">
      <w:pPr>
        <w:spacing w:line="276" w:lineRule="auto"/>
        <w:jc w:val="both"/>
        <w:rPr>
          <w:rFonts w:ascii="Cambria" w:hAnsi="Cambria" w:cs="Times New Roman"/>
          <w:sz w:val="26"/>
          <w:szCs w:val="26"/>
        </w:rPr>
      </w:pPr>
      <w:r w:rsidRPr="00D43CBC">
        <w:rPr>
          <w:rFonts w:ascii="Segoe UI Semibold" w:hAnsi="Segoe UI Semibold" w:cs="Segoe UI Semibold"/>
          <w:b/>
          <w:bCs/>
          <w:sz w:val="24"/>
          <w:szCs w:val="24"/>
        </w:rPr>
        <w:t>I</w:t>
      </w:r>
      <w:r>
        <w:rPr>
          <w:rFonts w:ascii="Segoe UI Semibold" w:hAnsi="Segoe UI Semibold" w:cs="Segoe UI Semibold"/>
          <w:b/>
          <w:bCs/>
          <w:sz w:val="24"/>
          <w:szCs w:val="24"/>
        </w:rPr>
        <w:t>.</w:t>
      </w:r>
      <w:r w:rsidRPr="00D43CBC">
        <w:rPr>
          <w:rFonts w:ascii="Segoe UI Semibold" w:hAnsi="Segoe UI Semibold" w:cs="Segoe UI Semibold"/>
          <w:b/>
          <w:bCs/>
          <w:sz w:val="24"/>
          <w:szCs w:val="24"/>
        </w:rPr>
        <w:t xml:space="preserve"> </w:t>
      </w:r>
      <w:r w:rsidR="00C028BD">
        <w:rPr>
          <w:rFonts w:ascii="Segoe UI Semibold" w:hAnsi="Segoe UI Semibold" w:cs="Segoe UI Semibold"/>
          <w:b/>
          <w:bCs/>
          <w:sz w:val="24"/>
          <w:szCs w:val="24"/>
        </w:rPr>
        <w:t>D</w:t>
      </w:r>
      <w:r w:rsidR="00C028BD" w:rsidRPr="00C028BD">
        <w:rPr>
          <w:rFonts w:ascii="Segoe UI Semibold" w:hAnsi="Segoe UI Semibold" w:cs="Segoe UI Semibold"/>
          <w:b/>
          <w:bCs/>
          <w:sz w:val="24"/>
          <w:szCs w:val="24"/>
        </w:rPr>
        <w:t>A SISTEMÁTICA ADOTADA PELA OAB/SP</w:t>
      </w:r>
    </w:p>
    <w:p w14:paraId="060D3AE5" w14:textId="0550C5B8" w:rsidR="00043B03" w:rsidRPr="00043B03" w:rsidRDefault="00043B03" w:rsidP="00043B03">
      <w:pPr>
        <w:spacing w:line="276" w:lineRule="auto"/>
        <w:ind w:firstLine="567"/>
        <w:jc w:val="both"/>
        <w:rPr>
          <w:rFonts w:ascii="Cambria" w:hAnsi="Cambria" w:cs="Times New Roman"/>
          <w:sz w:val="26"/>
          <w:szCs w:val="26"/>
        </w:rPr>
      </w:pPr>
      <w:r w:rsidRPr="00043B03">
        <w:rPr>
          <w:rFonts w:ascii="Cambria" w:hAnsi="Cambria" w:cs="Times New Roman"/>
          <w:sz w:val="26"/>
          <w:szCs w:val="26"/>
        </w:rPr>
        <w:t>A Portaria GDT nº 004/2026, expedida pelo Diretor Tesoureiro da OAB/SP, instituiu, no âmbito da Seccional, um procedimento para identificar advogados que atuam no Estado de São Paulo sem inscrição suplementar, apurar suposta habitualidade e cobrar anuidades e multas relativas a exercícios anteriores. Para isso, criou-se uma estrutura tecnológica de identificação, notificação, contestação e cobrança baseada na análise de registros dos sistemas processuais.</w:t>
      </w:r>
    </w:p>
    <w:p w14:paraId="3F8335BE" w14:textId="2960E239" w:rsidR="00043B03" w:rsidRPr="00043B03" w:rsidRDefault="00043B03" w:rsidP="00043B03">
      <w:pPr>
        <w:spacing w:line="276" w:lineRule="auto"/>
        <w:ind w:firstLine="567"/>
        <w:jc w:val="both"/>
        <w:rPr>
          <w:rFonts w:ascii="Cambria" w:hAnsi="Cambria" w:cs="Times New Roman"/>
          <w:sz w:val="26"/>
          <w:szCs w:val="26"/>
        </w:rPr>
      </w:pPr>
      <w:r w:rsidRPr="00043B03">
        <w:rPr>
          <w:rFonts w:ascii="Cambria" w:hAnsi="Cambria" w:cs="Times New Roman"/>
          <w:sz w:val="26"/>
          <w:szCs w:val="26"/>
        </w:rPr>
        <w:t xml:space="preserve">O primeiro problema é objetivo e está no próprio texto da Portaria. Embora o ato reconheça que a habitualidade deve ser aferida pela superação de cinco causas em determinado ano, seu art. 3º, § 1º, determina expressamente que as causas não sejam zeradas a cada exercício, mas acumuladas ao longo dos anos. Com isso, a Portaria substitui o critério anual previsto </w:t>
      </w:r>
      <w:r w:rsidR="00743DDC">
        <w:rPr>
          <w:rFonts w:ascii="Cambria" w:hAnsi="Cambria" w:cs="Times New Roman"/>
          <w:sz w:val="26"/>
          <w:szCs w:val="26"/>
        </w:rPr>
        <w:t>no Estatuto da Advocacia</w:t>
      </w:r>
      <w:r w:rsidRPr="00043B03">
        <w:rPr>
          <w:rFonts w:ascii="Cambria" w:hAnsi="Cambria" w:cs="Times New Roman"/>
          <w:sz w:val="26"/>
          <w:szCs w:val="26"/>
        </w:rPr>
        <w:t xml:space="preserve"> por uma contagem plurianual.</w:t>
      </w:r>
    </w:p>
    <w:p w14:paraId="621ADB9C" w14:textId="7D6BF6D3" w:rsidR="00043B03" w:rsidRPr="00043B03" w:rsidRDefault="00043B03" w:rsidP="00043B03">
      <w:pPr>
        <w:spacing w:line="276" w:lineRule="auto"/>
        <w:ind w:firstLine="567"/>
        <w:jc w:val="both"/>
        <w:rPr>
          <w:rFonts w:ascii="Cambria" w:hAnsi="Cambria" w:cs="Times New Roman"/>
          <w:sz w:val="26"/>
          <w:szCs w:val="26"/>
        </w:rPr>
      </w:pPr>
      <w:r w:rsidRPr="00043B03">
        <w:rPr>
          <w:rFonts w:ascii="Cambria" w:hAnsi="Cambria" w:cs="Times New Roman"/>
          <w:sz w:val="26"/>
          <w:szCs w:val="26"/>
        </w:rPr>
        <w:t xml:space="preserve">A consequência é direta: atuações que, isoladamente consideradas em cada exercício, jamais ultrapassariam o limite legal podem ser somadas posteriormente para produzir a obrigação de inscrição suplementar. Não se trata de mera forma de operacionalizar a lei. É a alteração do próprio critério </w:t>
      </w:r>
      <w:r w:rsidRPr="00043B03">
        <w:rPr>
          <w:rFonts w:ascii="Cambria" w:hAnsi="Cambria" w:cs="Times New Roman"/>
          <w:sz w:val="26"/>
          <w:szCs w:val="26"/>
        </w:rPr>
        <w:lastRenderedPageBreak/>
        <w:t xml:space="preserve">utilizado para definir quando surge a obrigação. E uma Portaria não pode ampliar, modificar ou substituir o parâmetro estabelecido </w:t>
      </w:r>
      <w:r w:rsidR="00743DDC">
        <w:rPr>
          <w:rFonts w:ascii="Cambria" w:hAnsi="Cambria" w:cs="Times New Roman"/>
          <w:sz w:val="26"/>
          <w:szCs w:val="26"/>
        </w:rPr>
        <w:t>pela legislação</w:t>
      </w:r>
      <w:r w:rsidRPr="00043B03">
        <w:rPr>
          <w:rFonts w:ascii="Cambria" w:hAnsi="Cambria" w:cs="Times New Roman"/>
          <w:sz w:val="26"/>
          <w:szCs w:val="26"/>
        </w:rPr>
        <w:t>.</w:t>
      </w:r>
    </w:p>
    <w:p w14:paraId="1C957F9F" w14:textId="31E8F42A" w:rsidR="00043B03" w:rsidRPr="00043B03" w:rsidRDefault="00043B03" w:rsidP="00043B03">
      <w:pPr>
        <w:spacing w:line="276" w:lineRule="auto"/>
        <w:ind w:firstLine="567"/>
        <w:jc w:val="both"/>
        <w:rPr>
          <w:rFonts w:ascii="Cambria" w:hAnsi="Cambria" w:cs="Times New Roman"/>
          <w:sz w:val="26"/>
          <w:szCs w:val="26"/>
        </w:rPr>
      </w:pPr>
      <w:r w:rsidRPr="00043B03">
        <w:rPr>
          <w:rFonts w:ascii="Cambria" w:hAnsi="Cambria" w:cs="Times New Roman"/>
          <w:sz w:val="26"/>
          <w:szCs w:val="26"/>
        </w:rPr>
        <w:t>O problema se agrava porque a Portaria também estabelece que o acompanhamento processual nos anos seguintes seja novamente computado para fins de contagem do mesmo processo. Assim, além de acumular atuações de exercícios diferentes, o procedimento admite nova contagem de um mesmo processo em anos subsequentes. O que a lei estabeleceu como limite anual passa, na prática, a funcionar como uma contagem que se prolonga no tempo.</w:t>
      </w:r>
    </w:p>
    <w:p w14:paraId="742CBBF8" w14:textId="50EBBE4E" w:rsidR="00043B03" w:rsidRPr="00043B03" w:rsidRDefault="00043B03" w:rsidP="00043B03">
      <w:pPr>
        <w:spacing w:line="276" w:lineRule="auto"/>
        <w:ind w:firstLine="567"/>
        <w:jc w:val="both"/>
        <w:rPr>
          <w:rFonts w:ascii="Cambria" w:hAnsi="Cambria" w:cs="Times New Roman"/>
          <w:sz w:val="26"/>
          <w:szCs w:val="26"/>
        </w:rPr>
      </w:pPr>
      <w:r w:rsidRPr="00043B03">
        <w:rPr>
          <w:rFonts w:ascii="Cambria" w:hAnsi="Cambria" w:cs="Times New Roman"/>
          <w:sz w:val="26"/>
          <w:szCs w:val="26"/>
        </w:rPr>
        <w:t>Há ainda uma segunda questão que não pode ser tratada como mero detalhe operacional. A Portaria utiliza plataforma tecnológica para consultar sistemas judiciais, realizar a identificação dos profissionais e armazenar os registros que fundamentam cada notificação. Mas registro processual não se confunde automaticamente com intervenção judicial computável. A própria Portaria reconhece que a simples presença do nome do advogado em procuração, substabelecimento ou sistema eletrônico, sem efetiva prática de ato processual, não configura intervenção.</w:t>
      </w:r>
    </w:p>
    <w:p w14:paraId="73340344" w14:textId="77777777" w:rsidR="00043B03" w:rsidRPr="00043B03" w:rsidRDefault="00043B03" w:rsidP="00043B03">
      <w:pPr>
        <w:spacing w:line="276" w:lineRule="auto"/>
        <w:ind w:firstLine="567"/>
        <w:jc w:val="both"/>
        <w:rPr>
          <w:rFonts w:ascii="Cambria" w:hAnsi="Cambria" w:cs="Times New Roman"/>
          <w:sz w:val="26"/>
          <w:szCs w:val="26"/>
        </w:rPr>
      </w:pPr>
      <w:r w:rsidRPr="00043B03">
        <w:rPr>
          <w:rFonts w:ascii="Cambria" w:hAnsi="Cambria" w:cs="Times New Roman"/>
          <w:sz w:val="26"/>
          <w:szCs w:val="26"/>
        </w:rPr>
        <w:t>Por isso, não basta que um sistema localize o nome de um advogado, encontre um processo ou contabilize determinado registro. É necessário demonstrar, em cada situação, qual foi a intervenção efetivamente praticada, em qual exercício ocorreu, se ela é juridicamente computável e se não está abrangida por nenhuma das hipóteses que a própria regulamentação exclui. A tecnologia pode localizar informações; não pode, por si só, transformar um registro eletrônico em fato gerador de obrigação profissional e financeira.</w:t>
      </w:r>
    </w:p>
    <w:p w14:paraId="583E483B" w14:textId="7EF0A860" w:rsidR="00043B03" w:rsidRPr="00043B03" w:rsidRDefault="00043B03" w:rsidP="00043B03">
      <w:pPr>
        <w:spacing w:line="276" w:lineRule="auto"/>
        <w:ind w:firstLine="567"/>
        <w:jc w:val="both"/>
        <w:rPr>
          <w:rFonts w:ascii="Cambria" w:hAnsi="Cambria" w:cs="Times New Roman"/>
          <w:sz w:val="26"/>
          <w:szCs w:val="26"/>
        </w:rPr>
      </w:pPr>
      <w:r w:rsidRPr="00043B03">
        <w:rPr>
          <w:rFonts w:ascii="Cambria" w:hAnsi="Cambria" w:cs="Times New Roman"/>
          <w:sz w:val="26"/>
          <w:szCs w:val="26"/>
        </w:rPr>
        <w:t>O procedimento também cria uma assimetria relevante. A identificação é realizada pela estrutura da própria OAB/SP, a partir dos dados processuais disponíveis, mas cabe ao advogado contestar a classificação e apresentar elementos capazes de afastar a cobrança. Em outras palavras, o procedimento parte da identificação administrativa para chegar à cobrança e coloca sobre o próprio profissional o encargo de desfazer a classificação realizada pelo sistema.</w:t>
      </w:r>
    </w:p>
    <w:p w14:paraId="2C152462" w14:textId="77777777" w:rsidR="00743DDC" w:rsidRDefault="00043B03" w:rsidP="00043B03">
      <w:pPr>
        <w:spacing w:line="276" w:lineRule="auto"/>
        <w:ind w:firstLine="567"/>
        <w:jc w:val="both"/>
        <w:rPr>
          <w:rFonts w:ascii="Cambria" w:hAnsi="Cambria" w:cs="Times New Roman"/>
          <w:sz w:val="26"/>
          <w:szCs w:val="26"/>
        </w:rPr>
      </w:pPr>
      <w:r w:rsidRPr="00043B03">
        <w:rPr>
          <w:rFonts w:ascii="Cambria" w:hAnsi="Cambria" w:cs="Times New Roman"/>
          <w:sz w:val="26"/>
          <w:szCs w:val="26"/>
        </w:rPr>
        <w:t>Essa lógica exige especial cautela. A controvérsia não pode ser resolvida pela simples presunção de que o registro localizado corresponde ao fato jurídico que gera a obrigação. Antes de produzir efeitos financeiros ou profissionais, é indispensável que esteja demonstrada a efetiva ocorrência da intervenção computável, observados o exercício correspondente, a natureza do ato praticado e as hipóteses legais e regulamentares de exclusão.</w:t>
      </w:r>
    </w:p>
    <w:p w14:paraId="427F204F" w14:textId="42219F8A" w:rsidR="00043B03" w:rsidRPr="00043B03" w:rsidRDefault="00043B03" w:rsidP="00043B03">
      <w:pPr>
        <w:spacing w:line="276" w:lineRule="auto"/>
        <w:ind w:firstLine="567"/>
        <w:jc w:val="both"/>
        <w:rPr>
          <w:rFonts w:ascii="Cambria" w:hAnsi="Cambria" w:cs="Times New Roman"/>
          <w:sz w:val="26"/>
          <w:szCs w:val="26"/>
        </w:rPr>
      </w:pPr>
      <w:r w:rsidRPr="00043B03">
        <w:rPr>
          <w:rFonts w:ascii="Cambria" w:hAnsi="Cambria" w:cs="Times New Roman"/>
          <w:sz w:val="26"/>
          <w:szCs w:val="26"/>
        </w:rPr>
        <w:lastRenderedPageBreak/>
        <w:t>E o procedimento não termina na identificação. A partir da classificação realizada, são geradas cobranças, multas e exigências de regularização, com previsão de reconhecimento da dívida e de efeitos considerados irrevogáveis e irretratáveis. A própria Portaria condiciona o acesso ao procedimento de inscrição suplementar à quitação integral das obrigações financeiras decorrentes do programa.</w:t>
      </w:r>
    </w:p>
    <w:p w14:paraId="0DD78DBD" w14:textId="1EF2461B" w:rsidR="00043B03" w:rsidRPr="00043B03" w:rsidRDefault="00043B03" w:rsidP="00043B03">
      <w:pPr>
        <w:spacing w:line="276" w:lineRule="auto"/>
        <w:ind w:firstLine="567"/>
        <w:jc w:val="both"/>
        <w:rPr>
          <w:rFonts w:ascii="Cambria" w:hAnsi="Cambria" w:cs="Times New Roman"/>
          <w:sz w:val="26"/>
          <w:szCs w:val="26"/>
        </w:rPr>
      </w:pPr>
      <w:r w:rsidRPr="00043B03">
        <w:rPr>
          <w:rFonts w:ascii="Cambria" w:hAnsi="Cambria" w:cs="Times New Roman"/>
          <w:sz w:val="26"/>
          <w:szCs w:val="26"/>
        </w:rPr>
        <w:t>Há, ainda, uma dimensão temporal que não pode ser ignorada. A Portaria determina que a pesquisa alcance os exercícios de 2021 até o ano corrente e prevê a constituição e cobrança dos respectivos débitos. Mais do que isso, seu art. 15, I, afirma que a execução poderá ser proposta “sem limitação temporal”. O ato administrativo, portanto, não apenas define como a suposta habitualidade será identificada, mas também pretende alcançar obrigações de exercícios anteriores e conferir-lhes uma exigibilidade que não pode ser criada ou ampliada por simples ato regulamentar.</w:t>
      </w:r>
    </w:p>
    <w:p w14:paraId="45C0A18A" w14:textId="4F782C89" w:rsidR="00043B03" w:rsidRPr="00043B03" w:rsidRDefault="00043B03" w:rsidP="00043B03">
      <w:pPr>
        <w:spacing w:line="276" w:lineRule="auto"/>
        <w:ind w:firstLine="567"/>
        <w:jc w:val="both"/>
        <w:rPr>
          <w:rFonts w:ascii="Cambria" w:hAnsi="Cambria" w:cs="Times New Roman"/>
          <w:sz w:val="26"/>
          <w:szCs w:val="26"/>
        </w:rPr>
      </w:pPr>
      <w:r w:rsidRPr="00043B03">
        <w:rPr>
          <w:rFonts w:ascii="Cambria" w:hAnsi="Cambria" w:cs="Times New Roman"/>
          <w:sz w:val="26"/>
          <w:szCs w:val="26"/>
        </w:rPr>
        <w:t>A situação se torna ainda mais grave pelas consequências previstas para quem não regulariza a cobrança. A Portaria autoriza a emissão de certidão de débito, o ajuizamento de execução, o protesto, a inclusão em cadastros de proteção ao crédito e o encaminhamento dos elementos ao Tribunal de Ética e Disciplina para apuração de eventual exercício irregular da profissão. Uma classificação administrativa, portanto, pode desencadear simultaneamente consequências patrimoniais, cadastrais e disciplinares.</w:t>
      </w:r>
    </w:p>
    <w:p w14:paraId="0B770B45" w14:textId="1AE2B232" w:rsidR="00043B03" w:rsidRPr="00043B03" w:rsidRDefault="00043B03" w:rsidP="00043B03">
      <w:pPr>
        <w:spacing w:line="276" w:lineRule="auto"/>
        <w:ind w:firstLine="567"/>
        <w:jc w:val="both"/>
        <w:rPr>
          <w:rFonts w:ascii="Cambria" w:hAnsi="Cambria" w:cs="Times New Roman"/>
          <w:sz w:val="26"/>
          <w:szCs w:val="26"/>
        </w:rPr>
      </w:pPr>
      <w:r w:rsidRPr="00043B03">
        <w:rPr>
          <w:rFonts w:ascii="Cambria" w:hAnsi="Cambria" w:cs="Times New Roman"/>
          <w:sz w:val="26"/>
          <w:szCs w:val="26"/>
        </w:rPr>
        <w:t>É preciso deixar claro: não se questiona o poder da OAB de fiscalizar o exercício profissional nem de exigir inscrição suplementar quando efetivamente configurada a habitualidade prevista em lei. O que se questiona</w:t>
      </w:r>
      <w:r w:rsidR="00743DDC">
        <w:rPr>
          <w:rFonts w:ascii="Cambria" w:hAnsi="Cambria" w:cs="Times New Roman"/>
          <w:sz w:val="26"/>
          <w:szCs w:val="26"/>
        </w:rPr>
        <w:t>, neste momento,</w:t>
      </w:r>
      <w:r w:rsidRPr="00043B03">
        <w:rPr>
          <w:rFonts w:ascii="Cambria" w:hAnsi="Cambria" w:cs="Times New Roman"/>
          <w:sz w:val="26"/>
          <w:szCs w:val="26"/>
        </w:rPr>
        <w:t xml:space="preserve"> é algo muito mais específico: a OAB/SP não pode, sob o pretexto de regulamentar e operacionalizar a fiscalização, criar um critério diferente daquele estabelecido pelo Estatuto, ampliar o período de contagem, atribuir a registros processuais um efeito que depende de qualificação jurídica e, a partir disso, constituir cobranças e desencadear consequências profissionais.</w:t>
      </w:r>
    </w:p>
    <w:p w14:paraId="765F2D7E" w14:textId="05DAD65C" w:rsidR="00043B03" w:rsidRPr="00043B03" w:rsidRDefault="00043B03" w:rsidP="00043B03">
      <w:pPr>
        <w:spacing w:line="276" w:lineRule="auto"/>
        <w:ind w:firstLine="567"/>
        <w:jc w:val="both"/>
        <w:rPr>
          <w:rFonts w:ascii="Cambria" w:hAnsi="Cambria" w:cs="Times New Roman"/>
          <w:sz w:val="26"/>
          <w:szCs w:val="26"/>
        </w:rPr>
      </w:pPr>
      <w:r w:rsidRPr="00043B03">
        <w:rPr>
          <w:rFonts w:ascii="Cambria" w:hAnsi="Cambria" w:cs="Times New Roman"/>
          <w:sz w:val="26"/>
          <w:szCs w:val="26"/>
        </w:rPr>
        <w:t>O que está em discussão, portanto, não é um detalhe administrativo nem uma divergência pontual sobre valores. É o próprio modelo de fiscalização instituído pela Portaria GDT nº 004/2026. Se a obrigação nasce da superação de cinco causas por ano, a contagem deve respeitar o ano. Se apenas a intervenção efetiva pode ser considerada, ela precisa ser efetivamente demonstrada. Se há hipóteses expressamente excluídas, elas não podem ser transformadas em fundamento de cobrança. E se da apuração resultar débito ou consequência disciplinar, essa conclusão não pode decorrer de uma presunção criada pelo próprio procedimento.</w:t>
      </w:r>
    </w:p>
    <w:p w14:paraId="3C6137FB" w14:textId="77777777" w:rsidR="00043B03" w:rsidRPr="00043B03" w:rsidRDefault="00043B03" w:rsidP="00043B03">
      <w:pPr>
        <w:spacing w:line="276" w:lineRule="auto"/>
        <w:ind w:firstLine="567"/>
        <w:jc w:val="both"/>
        <w:rPr>
          <w:rFonts w:ascii="Cambria" w:hAnsi="Cambria" w:cs="Times New Roman"/>
          <w:sz w:val="26"/>
          <w:szCs w:val="26"/>
        </w:rPr>
      </w:pPr>
      <w:r w:rsidRPr="00043B03">
        <w:rPr>
          <w:rFonts w:ascii="Cambria" w:hAnsi="Cambria" w:cs="Times New Roman"/>
          <w:sz w:val="26"/>
          <w:szCs w:val="26"/>
        </w:rPr>
        <w:lastRenderedPageBreak/>
        <w:t>Diante desse cenário, mostra-se necessária a atuação do Conselho Federal da OAB. Cabe ao órgão responsável pela uniformidade normativa da Ordem examinar se uma Seccional pode, por meio de Portaria, alterar o critério legal de habitualidade, criar uma contagem acumulada entre exercícios, alcançar obrigações pretéritas nos termos estabelecidos pelo ato e atribuir consequências financeiras e disciplinares a partir desse modelo.</w:t>
      </w:r>
    </w:p>
    <w:p w14:paraId="17F6AF0A" w14:textId="55B8548D" w:rsidR="00743DDC" w:rsidRDefault="00043B03" w:rsidP="00743DDC">
      <w:pPr>
        <w:spacing w:line="276" w:lineRule="auto"/>
        <w:ind w:firstLine="567"/>
        <w:jc w:val="both"/>
      </w:pPr>
      <w:r w:rsidRPr="00043B03">
        <w:rPr>
          <w:rFonts w:ascii="Cambria" w:hAnsi="Cambria" w:cs="Times New Roman"/>
          <w:sz w:val="26"/>
          <w:szCs w:val="26"/>
        </w:rPr>
        <w:t>A questão exige uma resposta objetiva: a regulamentação pode operacionalizar a lei, mas não pode reescrevê-la. É exatamente para preservar esse limite que se busca a atuação do Conselho Federal</w:t>
      </w:r>
      <w:r w:rsidR="000D0234">
        <w:rPr>
          <w:rFonts w:ascii="Cambria" w:hAnsi="Cambria" w:cs="Times New Roman"/>
          <w:sz w:val="26"/>
          <w:szCs w:val="26"/>
        </w:rPr>
        <w:t>.</w:t>
      </w:r>
      <w:r w:rsidR="00743DDC" w:rsidRPr="00743DDC">
        <w:t xml:space="preserve"> </w:t>
      </w:r>
    </w:p>
    <w:p w14:paraId="0FEF60D5" w14:textId="77777777" w:rsidR="00743DDC" w:rsidRDefault="00743DDC" w:rsidP="00743DDC">
      <w:pPr>
        <w:spacing w:line="276" w:lineRule="auto"/>
        <w:ind w:firstLine="567"/>
        <w:jc w:val="both"/>
      </w:pPr>
    </w:p>
    <w:p w14:paraId="22A84986" w14:textId="515913FD" w:rsidR="00743DDC" w:rsidRPr="00743DDC" w:rsidRDefault="00C028BD" w:rsidP="00743DDC">
      <w:pPr>
        <w:spacing w:line="276" w:lineRule="auto"/>
        <w:jc w:val="both"/>
        <w:rPr>
          <w:rFonts w:ascii="Cambria" w:hAnsi="Cambria" w:cs="Times New Roman"/>
          <w:sz w:val="26"/>
          <w:szCs w:val="26"/>
        </w:rPr>
      </w:pPr>
      <w:r>
        <w:rPr>
          <w:rFonts w:ascii="Cambria" w:hAnsi="Cambria" w:cs="Times New Roman"/>
          <w:b/>
          <w:bCs/>
          <w:sz w:val="26"/>
          <w:szCs w:val="26"/>
        </w:rPr>
        <w:t>1.1</w:t>
      </w:r>
      <w:r w:rsidRPr="00743DDC">
        <w:rPr>
          <w:rFonts w:ascii="Cambria" w:hAnsi="Cambria" w:cs="Times New Roman"/>
          <w:b/>
          <w:bCs/>
          <w:sz w:val="26"/>
          <w:szCs w:val="26"/>
        </w:rPr>
        <w:t xml:space="preserve"> </w:t>
      </w:r>
      <w:r>
        <w:rPr>
          <w:rFonts w:ascii="Cambria" w:hAnsi="Cambria" w:cs="Times New Roman"/>
          <w:b/>
          <w:bCs/>
          <w:sz w:val="26"/>
          <w:szCs w:val="26"/>
        </w:rPr>
        <w:t>D</w:t>
      </w:r>
      <w:r w:rsidRPr="00743DDC">
        <w:rPr>
          <w:rFonts w:ascii="Cambria" w:hAnsi="Cambria" w:cs="Times New Roman"/>
          <w:b/>
          <w:bCs/>
          <w:sz w:val="26"/>
          <w:szCs w:val="26"/>
        </w:rPr>
        <w:t>a alteração do critério legal de habitualidade e da extrapolação do poder regulamentar</w:t>
      </w:r>
    </w:p>
    <w:p w14:paraId="3EBD48B0" w14:textId="43316551" w:rsidR="00743DDC" w:rsidRPr="00743DDC" w:rsidRDefault="00743DDC" w:rsidP="00743DDC">
      <w:pPr>
        <w:spacing w:line="276" w:lineRule="auto"/>
        <w:ind w:firstLine="567"/>
        <w:jc w:val="both"/>
        <w:rPr>
          <w:rFonts w:ascii="Cambria" w:hAnsi="Cambria" w:cs="Times New Roman"/>
          <w:sz w:val="26"/>
          <w:szCs w:val="26"/>
        </w:rPr>
      </w:pPr>
      <w:r w:rsidRPr="00743DDC">
        <w:rPr>
          <w:rFonts w:ascii="Cambria" w:hAnsi="Cambria" w:cs="Times New Roman"/>
          <w:sz w:val="26"/>
          <w:szCs w:val="26"/>
        </w:rPr>
        <w:t>O art. 10, § 2º, da Lei nº 8.906/1994 estabelece que a inscrição suplementar é exigida quando o advogado passa a exercer habitualmente a profissão em território de outra Seccional, considerando-se habitual a intervenção judicial que exceder cinco causas por ano. O critério legal é objetivo e possui referência temporal expressa: o ano.</w:t>
      </w:r>
    </w:p>
    <w:p w14:paraId="011C3E32" w14:textId="5908AC51" w:rsidR="00743DDC" w:rsidRPr="00743DDC" w:rsidRDefault="00743DDC" w:rsidP="00743DDC">
      <w:pPr>
        <w:spacing w:line="276" w:lineRule="auto"/>
        <w:ind w:firstLine="567"/>
        <w:jc w:val="both"/>
        <w:rPr>
          <w:rFonts w:ascii="Cambria" w:hAnsi="Cambria" w:cs="Times New Roman"/>
          <w:sz w:val="26"/>
          <w:szCs w:val="26"/>
        </w:rPr>
      </w:pPr>
      <w:r w:rsidRPr="00743DDC">
        <w:rPr>
          <w:rFonts w:ascii="Cambria" w:hAnsi="Cambria" w:cs="Times New Roman"/>
          <w:sz w:val="26"/>
          <w:szCs w:val="26"/>
        </w:rPr>
        <w:t>A mesma regra foi reproduzida pelo Provimento CFOAB nº 178/2017, cujo art. 5º considera eventual a intervenção em até cinco causas por ano e exige inscrição suplementar quando esse limite é ultrapassado. O próprio Conselho Federal, em decisões recentes, reafirmou que a obrigação decorre da superação do limite anual.</w:t>
      </w:r>
    </w:p>
    <w:p w14:paraId="6D3ACEA9" w14:textId="3CC792BE" w:rsidR="00743DDC" w:rsidRPr="00743DDC" w:rsidRDefault="00743DDC" w:rsidP="00743DDC">
      <w:pPr>
        <w:spacing w:line="276" w:lineRule="auto"/>
        <w:ind w:firstLine="567"/>
        <w:jc w:val="both"/>
        <w:rPr>
          <w:rFonts w:ascii="Cambria" w:hAnsi="Cambria" w:cs="Times New Roman"/>
          <w:sz w:val="26"/>
          <w:szCs w:val="26"/>
        </w:rPr>
      </w:pPr>
      <w:r w:rsidRPr="00743DDC">
        <w:rPr>
          <w:rFonts w:ascii="Cambria" w:hAnsi="Cambria" w:cs="Times New Roman"/>
          <w:sz w:val="26"/>
          <w:szCs w:val="26"/>
        </w:rPr>
        <w:t>A Portaria GDT nº 004/2026, contudo, altera esse critério ao determinar, em seu art. 3º, § 1º, que o cômputo das causas não seja reiniciado a cada ano, permitindo sua acumulação ao longo dos exercícios. Assim, intervenções que, isoladamente, jamais ultrapassariam o limite legal anual podem ser somadas posteriormente para produzir efeito que a lei não lhes atribui.</w:t>
      </w:r>
    </w:p>
    <w:p w14:paraId="05CAC9A5" w14:textId="4F554B67" w:rsidR="00743DDC" w:rsidRPr="00743DDC" w:rsidRDefault="00743DDC" w:rsidP="00743DDC">
      <w:pPr>
        <w:spacing w:line="276" w:lineRule="auto"/>
        <w:ind w:firstLine="567"/>
        <w:jc w:val="both"/>
        <w:rPr>
          <w:rFonts w:ascii="Cambria" w:hAnsi="Cambria" w:cs="Times New Roman"/>
          <w:sz w:val="26"/>
          <w:szCs w:val="26"/>
        </w:rPr>
      </w:pPr>
      <w:r w:rsidRPr="00743DDC">
        <w:rPr>
          <w:rFonts w:ascii="Cambria" w:hAnsi="Cambria" w:cs="Times New Roman"/>
          <w:sz w:val="26"/>
          <w:szCs w:val="26"/>
        </w:rPr>
        <w:t>Não se trata de mera regulamentação procedimental. Ao afastar o caráter anual da aferição, a Portaria modifica o próprio fato jurídico utilizado para caracterizar a habitualidade e amplia, por ato infralegal, a hipótese de incidência da inscrição suplementar.</w:t>
      </w:r>
    </w:p>
    <w:p w14:paraId="3F1BA912" w14:textId="7916B4AB" w:rsidR="00743DDC" w:rsidRPr="00743DDC" w:rsidRDefault="00743DDC" w:rsidP="00743DDC">
      <w:pPr>
        <w:spacing w:line="276" w:lineRule="auto"/>
        <w:ind w:firstLine="567"/>
        <w:jc w:val="both"/>
        <w:rPr>
          <w:rFonts w:ascii="Cambria" w:hAnsi="Cambria" w:cs="Times New Roman"/>
          <w:sz w:val="26"/>
          <w:szCs w:val="26"/>
        </w:rPr>
      </w:pPr>
      <w:r w:rsidRPr="00743DDC">
        <w:rPr>
          <w:rFonts w:ascii="Cambria" w:hAnsi="Cambria" w:cs="Times New Roman"/>
          <w:sz w:val="26"/>
          <w:szCs w:val="26"/>
        </w:rPr>
        <w:t>A mesma cautela deve alcançar o § 2º do art. 3º, na medida em que sua aplicação permit</w:t>
      </w:r>
      <w:r w:rsidR="000D0234">
        <w:rPr>
          <w:rFonts w:ascii="Cambria" w:hAnsi="Cambria" w:cs="Times New Roman"/>
          <w:sz w:val="26"/>
          <w:szCs w:val="26"/>
        </w:rPr>
        <w:t>e</w:t>
      </w:r>
      <w:r w:rsidRPr="00743DDC">
        <w:rPr>
          <w:rFonts w:ascii="Cambria" w:hAnsi="Cambria" w:cs="Times New Roman"/>
          <w:sz w:val="26"/>
          <w:szCs w:val="26"/>
        </w:rPr>
        <w:t xml:space="preserve"> transformar o acompanhamento de um mesmo processo em sucessivas contagens anuais sem correspondente intervenção judicial computável. Não se questiona a consideração de causas em tramitação, mas a necessidade de preservar, em qualquer hipótese, o limite anual estabelecido pela legislação.</w:t>
      </w:r>
    </w:p>
    <w:p w14:paraId="2331E7B7" w14:textId="77777777" w:rsidR="00743DDC" w:rsidRPr="00743DDC" w:rsidRDefault="00743DDC" w:rsidP="00743DDC">
      <w:pPr>
        <w:spacing w:line="276" w:lineRule="auto"/>
        <w:ind w:firstLine="567"/>
        <w:jc w:val="both"/>
        <w:rPr>
          <w:rFonts w:ascii="Cambria" w:hAnsi="Cambria" w:cs="Times New Roman"/>
          <w:sz w:val="26"/>
          <w:szCs w:val="26"/>
        </w:rPr>
      </w:pPr>
      <w:r w:rsidRPr="00743DDC">
        <w:rPr>
          <w:rFonts w:ascii="Cambria" w:hAnsi="Cambria" w:cs="Times New Roman"/>
          <w:sz w:val="26"/>
          <w:szCs w:val="26"/>
        </w:rPr>
        <w:lastRenderedPageBreak/>
        <w:t>Nos termos do art. 54, VIII, do Estatuto da Advocacia, compete ao Conselho Federal cassar ou modificar atos de órgãos da OAB que contrariem a legislação, o Regulamento Geral, o Código de Ética ou os Provimentos do próprio Conselho Federal. Por isso, mostra-se incompatível com o regime jurídico vigente a acumulação plurianual prevista no art. 3º, § 1º, da Portaria.</w:t>
      </w:r>
    </w:p>
    <w:p w14:paraId="4C931898" w14:textId="77777777" w:rsidR="00743DDC" w:rsidRPr="00743DDC" w:rsidRDefault="00743DDC" w:rsidP="00743DDC">
      <w:pPr>
        <w:spacing w:line="276" w:lineRule="auto"/>
        <w:ind w:firstLine="567"/>
        <w:jc w:val="both"/>
        <w:rPr>
          <w:rFonts w:ascii="Cambria" w:hAnsi="Cambria" w:cs="Times New Roman"/>
          <w:sz w:val="26"/>
          <w:szCs w:val="26"/>
        </w:rPr>
      </w:pPr>
    </w:p>
    <w:p w14:paraId="60395056" w14:textId="56001B74" w:rsidR="00743DDC" w:rsidRPr="00743DDC" w:rsidRDefault="00C028BD" w:rsidP="000D0234">
      <w:pPr>
        <w:spacing w:line="276" w:lineRule="auto"/>
        <w:jc w:val="both"/>
        <w:rPr>
          <w:rFonts w:ascii="Cambria" w:hAnsi="Cambria" w:cs="Times New Roman"/>
          <w:sz w:val="26"/>
          <w:szCs w:val="26"/>
        </w:rPr>
      </w:pPr>
      <w:r>
        <w:rPr>
          <w:rFonts w:ascii="Cambria" w:hAnsi="Cambria" w:cs="Times New Roman"/>
          <w:b/>
          <w:bCs/>
          <w:sz w:val="26"/>
          <w:szCs w:val="26"/>
        </w:rPr>
        <w:t>1.2</w:t>
      </w:r>
      <w:r w:rsidRPr="000D0234">
        <w:rPr>
          <w:rFonts w:ascii="Cambria" w:hAnsi="Cambria" w:cs="Times New Roman"/>
          <w:b/>
          <w:bCs/>
          <w:sz w:val="26"/>
          <w:szCs w:val="26"/>
        </w:rPr>
        <w:t xml:space="preserve"> Da cobrança de exercícios anteriores e dos limites temporais da pretensão</w:t>
      </w:r>
    </w:p>
    <w:p w14:paraId="5541F0E0" w14:textId="239E797A" w:rsidR="00743DDC" w:rsidRPr="00743DDC" w:rsidRDefault="00743DDC" w:rsidP="00743DDC">
      <w:pPr>
        <w:spacing w:line="276" w:lineRule="auto"/>
        <w:ind w:firstLine="567"/>
        <w:jc w:val="both"/>
        <w:rPr>
          <w:rFonts w:ascii="Cambria" w:hAnsi="Cambria" w:cs="Times New Roman"/>
          <w:sz w:val="26"/>
          <w:szCs w:val="26"/>
        </w:rPr>
      </w:pPr>
      <w:r w:rsidRPr="00743DDC">
        <w:rPr>
          <w:rFonts w:ascii="Cambria" w:hAnsi="Cambria" w:cs="Times New Roman"/>
          <w:sz w:val="26"/>
          <w:szCs w:val="26"/>
        </w:rPr>
        <w:t>O art. 6º da Portaria determina que a pesquisa alcance os anos civis de 2021 até o ano corrente, permitindo que informações de exercícios anteriores sejam utilizadas para identificar situações e constituir obrigações financeiras relativas ao passado. O art. 15, I, por sua vez, prevê a execução do débito extrajudicial “sem limitação temporal para sua propositura”.</w:t>
      </w:r>
    </w:p>
    <w:p w14:paraId="0D1FC649" w14:textId="7DE056B6" w:rsidR="00743DDC" w:rsidRPr="00743DDC" w:rsidRDefault="00743DDC" w:rsidP="00743DDC">
      <w:pPr>
        <w:spacing w:line="276" w:lineRule="auto"/>
        <w:ind w:firstLine="567"/>
        <w:jc w:val="both"/>
        <w:rPr>
          <w:rFonts w:ascii="Cambria" w:hAnsi="Cambria" w:cs="Times New Roman"/>
          <w:sz w:val="26"/>
          <w:szCs w:val="26"/>
        </w:rPr>
      </w:pPr>
      <w:r w:rsidRPr="00743DDC">
        <w:rPr>
          <w:rFonts w:ascii="Cambria" w:hAnsi="Cambria" w:cs="Times New Roman"/>
          <w:sz w:val="26"/>
          <w:szCs w:val="26"/>
        </w:rPr>
        <w:t>A previsão administrativa não pode afastar os limites temporais impostos pela legislação. Ato interno da OAB não possui força para tornar indefinidamente exigível uma obrigação, afastar prazo prescricional ou criar passivo financeiro sem limite temporal.</w:t>
      </w:r>
    </w:p>
    <w:p w14:paraId="73FBBFB5" w14:textId="226B83F2" w:rsidR="00743DDC" w:rsidRPr="00743DDC" w:rsidRDefault="00743DDC" w:rsidP="00743DDC">
      <w:pPr>
        <w:spacing w:line="276" w:lineRule="auto"/>
        <w:ind w:firstLine="567"/>
        <w:jc w:val="both"/>
        <w:rPr>
          <w:rFonts w:ascii="Cambria" w:hAnsi="Cambria" w:cs="Times New Roman"/>
          <w:sz w:val="26"/>
          <w:szCs w:val="26"/>
        </w:rPr>
      </w:pPr>
      <w:r w:rsidRPr="00743DDC">
        <w:rPr>
          <w:rFonts w:ascii="Cambria" w:hAnsi="Cambria" w:cs="Times New Roman"/>
          <w:sz w:val="26"/>
          <w:szCs w:val="26"/>
        </w:rPr>
        <w:t>A pretensão de cobrança de anuidades da OAB está sujeita ao prazo prescricional de cinco anos, nos termos do art. 206, § 5º, I, do Código Civil, conforme entendimento consolidado na jurisprudência do STJ e nas Súmulas nº 06/2014/OEP e nº 11/2021/OEP do CFOAB, observados, evidentemente, os respectivos termos iniciais e eventuais causas de suspensão ou interrupção.</w:t>
      </w:r>
    </w:p>
    <w:p w14:paraId="1BF684D5" w14:textId="77777777" w:rsidR="00743DDC" w:rsidRPr="00743DDC" w:rsidRDefault="00743DDC" w:rsidP="00743DDC">
      <w:pPr>
        <w:spacing w:line="276" w:lineRule="auto"/>
        <w:ind w:firstLine="567"/>
        <w:jc w:val="both"/>
        <w:rPr>
          <w:rFonts w:ascii="Cambria" w:hAnsi="Cambria" w:cs="Times New Roman"/>
          <w:sz w:val="26"/>
          <w:szCs w:val="26"/>
        </w:rPr>
      </w:pPr>
      <w:r w:rsidRPr="00743DDC">
        <w:rPr>
          <w:rFonts w:ascii="Cambria" w:hAnsi="Cambria" w:cs="Times New Roman"/>
          <w:sz w:val="26"/>
          <w:szCs w:val="26"/>
        </w:rPr>
        <w:t>Portanto, a investigação de exercícios anteriores não pode servir para criar obrigações indefinidamente exigíveis. Cada cobrança deve observar o período a que se refere, o vencimento da obrigação e os marcos jurídicos que disciplinam sua exigibilidade e prescrição.</w:t>
      </w:r>
    </w:p>
    <w:p w14:paraId="5B529F71" w14:textId="77777777" w:rsidR="00743DDC" w:rsidRPr="00743DDC" w:rsidRDefault="00743DDC" w:rsidP="00743DDC">
      <w:pPr>
        <w:spacing w:line="276" w:lineRule="auto"/>
        <w:ind w:firstLine="567"/>
        <w:jc w:val="both"/>
        <w:rPr>
          <w:rFonts w:ascii="Cambria" w:hAnsi="Cambria" w:cs="Times New Roman"/>
          <w:sz w:val="26"/>
          <w:szCs w:val="26"/>
        </w:rPr>
      </w:pPr>
    </w:p>
    <w:p w14:paraId="36B00775" w14:textId="6F15C05E" w:rsidR="00743DDC" w:rsidRPr="000D0234" w:rsidRDefault="00C028BD" w:rsidP="000D0234">
      <w:pPr>
        <w:spacing w:line="276" w:lineRule="auto"/>
        <w:jc w:val="both"/>
        <w:rPr>
          <w:rFonts w:ascii="Cambria" w:hAnsi="Cambria" w:cs="Times New Roman"/>
          <w:b/>
          <w:bCs/>
          <w:sz w:val="26"/>
          <w:szCs w:val="26"/>
        </w:rPr>
      </w:pPr>
      <w:r>
        <w:rPr>
          <w:rFonts w:ascii="Cambria" w:hAnsi="Cambria" w:cs="Times New Roman"/>
          <w:b/>
          <w:bCs/>
          <w:sz w:val="26"/>
          <w:szCs w:val="26"/>
        </w:rPr>
        <w:t>1.3 Da</w:t>
      </w:r>
      <w:r w:rsidRPr="000D0234">
        <w:rPr>
          <w:rFonts w:ascii="Cambria" w:hAnsi="Cambria" w:cs="Times New Roman"/>
          <w:b/>
          <w:bCs/>
          <w:sz w:val="26"/>
          <w:szCs w:val="26"/>
        </w:rPr>
        <w:t xml:space="preserve"> vinculação da regularização profissional ao pagamento do débito</w:t>
      </w:r>
    </w:p>
    <w:p w14:paraId="1241A67C" w14:textId="66D4427D" w:rsidR="00743DDC" w:rsidRPr="00743DDC" w:rsidRDefault="00743DDC" w:rsidP="00743DDC">
      <w:pPr>
        <w:spacing w:line="276" w:lineRule="auto"/>
        <w:ind w:firstLine="567"/>
        <w:jc w:val="both"/>
        <w:rPr>
          <w:rFonts w:ascii="Cambria" w:hAnsi="Cambria" w:cs="Times New Roman"/>
          <w:sz w:val="26"/>
          <w:szCs w:val="26"/>
        </w:rPr>
      </w:pPr>
      <w:r w:rsidRPr="00743DDC">
        <w:rPr>
          <w:rFonts w:ascii="Cambria" w:hAnsi="Cambria" w:cs="Times New Roman"/>
          <w:sz w:val="26"/>
          <w:szCs w:val="26"/>
        </w:rPr>
        <w:t>O art. 14 da Portaria estabelece que somente após a quitação integral da multa, da taxa de inscrição suplementar e da taxa de carteira profissional será disponibilizado ao advogado o acesso para requerer sua inscrição suplementar. Com isso, o pagamento passa a constituir condição prévia para o próprio procedimento de regularização profissional.</w:t>
      </w:r>
    </w:p>
    <w:p w14:paraId="439A6995" w14:textId="78079FF5" w:rsidR="00743DDC" w:rsidRPr="00743DDC" w:rsidRDefault="00743DDC" w:rsidP="00743DDC">
      <w:pPr>
        <w:spacing w:line="276" w:lineRule="auto"/>
        <w:ind w:firstLine="567"/>
        <w:jc w:val="both"/>
        <w:rPr>
          <w:rFonts w:ascii="Cambria" w:hAnsi="Cambria" w:cs="Times New Roman"/>
          <w:sz w:val="26"/>
          <w:szCs w:val="26"/>
        </w:rPr>
      </w:pPr>
      <w:r w:rsidRPr="00743DDC">
        <w:rPr>
          <w:rFonts w:ascii="Cambria" w:hAnsi="Cambria" w:cs="Times New Roman"/>
          <w:sz w:val="26"/>
          <w:szCs w:val="26"/>
        </w:rPr>
        <w:t xml:space="preserve">São situações juridicamente distintas: uma coisa é a OAB apurar e cobrar eventual crédito regularmente constituído; outra é condicionar o acesso à </w:t>
      </w:r>
      <w:r w:rsidRPr="00743DDC">
        <w:rPr>
          <w:rFonts w:ascii="Cambria" w:hAnsi="Cambria" w:cs="Times New Roman"/>
          <w:sz w:val="26"/>
          <w:szCs w:val="26"/>
        </w:rPr>
        <w:lastRenderedPageBreak/>
        <w:t>regularização profissional ao pagamento integral desse crédito, utilizando a própria inscrição suplementar como mecanismo de pressão para sua satisfação.</w:t>
      </w:r>
    </w:p>
    <w:p w14:paraId="18FE9610" w14:textId="57905F15" w:rsidR="00743DDC" w:rsidRPr="00743DDC" w:rsidRDefault="00743DDC" w:rsidP="00743DDC">
      <w:pPr>
        <w:spacing w:line="276" w:lineRule="auto"/>
        <w:ind w:firstLine="567"/>
        <w:jc w:val="both"/>
        <w:rPr>
          <w:rFonts w:ascii="Cambria" w:hAnsi="Cambria" w:cs="Times New Roman"/>
          <w:sz w:val="26"/>
          <w:szCs w:val="26"/>
        </w:rPr>
      </w:pPr>
      <w:r w:rsidRPr="00743DDC">
        <w:rPr>
          <w:rFonts w:ascii="Cambria" w:hAnsi="Cambria" w:cs="Times New Roman"/>
          <w:sz w:val="26"/>
          <w:szCs w:val="26"/>
        </w:rPr>
        <w:t>Essa vinculação deve ser examinada à luz do art. 5º, XIII, da Constituição Federal e do princípio da legalidade. No Tema 732, o STF reconheceu a incompatibilidade da utilização de restrições ao exercício profissional como meio coercitivo para cobrança de anuidades. Embora o precedente não trate especificamente da hipótese prevista no art. 14, seu fundamento evidencia o limite jurídico à utilização de mecanismos profissionais com finalidade arrecadatória.</w:t>
      </w:r>
    </w:p>
    <w:p w14:paraId="79CFAB5E" w14:textId="77777777" w:rsidR="00743DDC" w:rsidRPr="00743DDC" w:rsidRDefault="00743DDC" w:rsidP="00743DDC">
      <w:pPr>
        <w:spacing w:line="276" w:lineRule="auto"/>
        <w:ind w:firstLine="567"/>
        <w:jc w:val="both"/>
        <w:rPr>
          <w:rFonts w:ascii="Cambria" w:hAnsi="Cambria" w:cs="Times New Roman"/>
          <w:sz w:val="26"/>
          <w:szCs w:val="26"/>
        </w:rPr>
      </w:pPr>
      <w:r w:rsidRPr="00743DDC">
        <w:rPr>
          <w:rFonts w:ascii="Cambria" w:hAnsi="Cambria" w:cs="Times New Roman"/>
          <w:sz w:val="26"/>
          <w:szCs w:val="26"/>
        </w:rPr>
        <w:t>A OAB dispõe de meios próprios para a cobrança de créditos regularmente constituídos. A regularização profissional, portanto, deve observar os requisitos legais que disciplinam a inscrição suplementar, não podendo ser transformada em instrumento indireto de cobrança patrimonial.</w:t>
      </w:r>
    </w:p>
    <w:p w14:paraId="0070D2D4" w14:textId="69E3DC9B" w:rsidR="00743DDC" w:rsidRPr="000D0234" w:rsidRDefault="00C028BD" w:rsidP="000D0234">
      <w:pPr>
        <w:spacing w:line="276" w:lineRule="auto"/>
        <w:jc w:val="both"/>
        <w:rPr>
          <w:rFonts w:ascii="Cambria" w:hAnsi="Cambria" w:cs="Times New Roman"/>
          <w:b/>
          <w:bCs/>
          <w:sz w:val="26"/>
          <w:szCs w:val="26"/>
        </w:rPr>
      </w:pPr>
      <w:r>
        <w:rPr>
          <w:rFonts w:ascii="Cambria" w:hAnsi="Cambria" w:cs="Times New Roman"/>
          <w:b/>
          <w:bCs/>
          <w:sz w:val="26"/>
          <w:szCs w:val="26"/>
        </w:rPr>
        <w:t>1.4 D</w:t>
      </w:r>
      <w:r w:rsidRPr="000D0234">
        <w:rPr>
          <w:rFonts w:ascii="Cambria" w:hAnsi="Cambria" w:cs="Times New Roman"/>
          <w:b/>
          <w:bCs/>
          <w:sz w:val="26"/>
          <w:szCs w:val="26"/>
        </w:rPr>
        <w:t>a constituição do débito, das presunções e da antecipação de consequências disciplinares</w:t>
      </w:r>
    </w:p>
    <w:p w14:paraId="05981359" w14:textId="5F2FE6F6" w:rsidR="00743DDC" w:rsidRPr="00743DDC" w:rsidRDefault="00743DDC" w:rsidP="00743DDC">
      <w:pPr>
        <w:spacing w:line="276" w:lineRule="auto"/>
        <w:ind w:firstLine="567"/>
        <w:jc w:val="both"/>
        <w:rPr>
          <w:rFonts w:ascii="Cambria" w:hAnsi="Cambria" w:cs="Times New Roman"/>
          <w:sz w:val="26"/>
          <w:szCs w:val="26"/>
        </w:rPr>
      </w:pPr>
      <w:r w:rsidRPr="00743DDC">
        <w:rPr>
          <w:rFonts w:ascii="Cambria" w:hAnsi="Cambria" w:cs="Times New Roman"/>
          <w:sz w:val="26"/>
          <w:szCs w:val="26"/>
        </w:rPr>
        <w:t>A Portaria estrutura a apuração a partir de consultas a sistemas processuais e de identificação tecnológica de advogados, mas o resultado dessa identificação não equivale, por si só, à demonstração da intervenção judicial que constitui o fato gerador da obrigação.</w:t>
      </w:r>
    </w:p>
    <w:p w14:paraId="27A46F8A" w14:textId="4BBC47C1" w:rsidR="00743DDC" w:rsidRPr="00743DDC" w:rsidRDefault="00743DDC" w:rsidP="00743DDC">
      <w:pPr>
        <w:spacing w:line="276" w:lineRule="auto"/>
        <w:ind w:firstLine="567"/>
        <w:jc w:val="both"/>
        <w:rPr>
          <w:rFonts w:ascii="Cambria" w:hAnsi="Cambria" w:cs="Times New Roman"/>
          <w:sz w:val="26"/>
          <w:szCs w:val="26"/>
        </w:rPr>
      </w:pPr>
      <w:r w:rsidRPr="00743DDC">
        <w:rPr>
          <w:rFonts w:ascii="Cambria" w:hAnsi="Cambria" w:cs="Times New Roman"/>
          <w:sz w:val="26"/>
          <w:szCs w:val="26"/>
        </w:rPr>
        <w:t>A própria Portaria reconhece, no art. 3º, § 3º, que a simples presença do nome do advogado em procuração, substabelecimento ou sistema eletrônico não caracteriza intervenção judicial. Por isso, a constituição de qualquer débito exige a individualização do ato efetivamente praticado, do respectivo exercício e de sua efetiva correspondência com os critérios legais.</w:t>
      </w:r>
    </w:p>
    <w:p w14:paraId="42C9AA0F" w14:textId="11198F88" w:rsidR="00743DDC" w:rsidRPr="00743DDC" w:rsidRDefault="00743DDC" w:rsidP="00743DDC">
      <w:pPr>
        <w:spacing w:line="276" w:lineRule="auto"/>
        <w:ind w:firstLine="567"/>
        <w:jc w:val="both"/>
        <w:rPr>
          <w:rFonts w:ascii="Cambria" w:hAnsi="Cambria" w:cs="Times New Roman"/>
          <w:sz w:val="26"/>
          <w:szCs w:val="26"/>
        </w:rPr>
      </w:pPr>
      <w:r w:rsidRPr="00743DDC">
        <w:rPr>
          <w:rFonts w:ascii="Cambria" w:hAnsi="Cambria" w:cs="Times New Roman"/>
          <w:sz w:val="26"/>
          <w:szCs w:val="26"/>
        </w:rPr>
        <w:t>A notificação eletrônica e os mecanismos tecnológicos podem auxiliar a fiscalização, mas não podem substituir a demonstração do fato constitutivo da obrigação. O mesmo vale para as presunções previstas na Portaria: não é juridicamente adequado transferir ao advogado o encargo de afastar uma obrigação que a própria Administração ainda não demonstrou de forma individualizada.</w:t>
      </w:r>
    </w:p>
    <w:p w14:paraId="54E365E9" w14:textId="6EEC8346" w:rsidR="00743DDC" w:rsidRPr="00743DDC" w:rsidRDefault="00743DDC" w:rsidP="00743DDC">
      <w:pPr>
        <w:spacing w:line="276" w:lineRule="auto"/>
        <w:ind w:firstLine="567"/>
        <w:jc w:val="both"/>
        <w:rPr>
          <w:rFonts w:ascii="Cambria" w:hAnsi="Cambria" w:cs="Times New Roman"/>
          <w:sz w:val="26"/>
          <w:szCs w:val="26"/>
        </w:rPr>
      </w:pPr>
      <w:r w:rsidRPr="00743DDC">
        <w:rPr>
          <w:rFonts w:ascii="Cambria" w:hAnsi="Cambria" w:cs="Times New Roman"/>
          <w:sz w:val="26"/>
          <w:szCs w:val="26"/>
        </w:rPr>
        <w:t>A preocupação é reforçada pelos arts. 12 e 16. O primeiro atribui caráter “irrevogável e irretratável” ao reconhecimento da dívida decorrente da adesão ao programa; o segundo atribui ao próprio inadimplemento efeito de reconhecimento. Não se mostra adequado conferir efeito automático de reconhecimento a uma obrigação cuja própria existência e extensão podem ser objeto de contestação administrativa</w:t>
      </w:r>
      <w:r w:rsidR="000D0234">
        <w:rPr>
          <w:rFonts w:ascii="Cambria" w:hAnsi="Cambria" w:cs="Times New Roman"/>
          <w:sz w:val="26"/>
          <w:szCs w:val="26"/>
        </w:rPr>
        <w:t xml:space="preserve"> ou até mesmo judicial</w:t>
      </w:r>
      <w:r w:rsidRPr="00743DDC">
        <w:rPr>
          <w:rFonts w:ascii="Cambria" w:hAnsi="Cambria" w:cs="Times New Roman"/>
          <w:sz w:val="26"/>
          <w:szCs w:val="26"/>
        </w:rPr>
        <w:t>.</w:t>
      </w:r>
    </w:p>
    <w:p w14:paraId="752B8D89" w14:textId="027500DB" w:rsidR="00743DDC" w:rsidRPr="00743DDC" w:rsidRDefault="00743DDC" w:rsidP="00743DDC">
      <w:pPr>
        <w:spacing w:line="276" w:lineRule="auto"/>
        <w:ind w:firstLine="567"/>
        <w:jc w:val="both"/>
        <w:rPr>
          <w:rFonts w:ascii="Cambria" w:hAnsi="Cambria" w:cs="Times New Roman"/>
          <w:sz w:val="26"/>
          <w:szCs w:val="26"/>
        </w:rPr>
      </w:pPr>
      <w:r w:rsidRPr="00743DDC">
        <w:rPr>
          <w:rFonts w:ascii="Cambria" w:hAnsi="Cambria" w:cs="Times New Roman"/>
          <w:sz w:val="26"/>
          <w:szCs w:val="26"/>
        </w:rPr>
        <w:lastRenderedPageBreak/>
        <w:t>O art. 15 acrescenta consequências de naturezas distintas — execução, protesto, inscrição em cadastros de inadimplentes e encaminhamento ao Tribunal de Ética e Disciplina. Essas esferas não se confundem. A existência de eventual crédito deve ser objeto de cobrança; a ausência de inscrição suplementar deve ser apurada; e eventual infração disciplinar deve observar seu próprio enquadramento e procedimento.</w:t>
      </w:r>
    </w:p>
    <w:p w14:paraId="31620F62" w14:textId="77777777" w:rsidR="00A05F9F" w:rsidRDefault="00743DDC" w:rsidP="00A05F9F">
      <w:pPr>
        <w:spacing w:line="276" w:lineRule="auto"/>
        <w:ind w:firstLine="567"/>
        <w:jc w:val="both"/>
      </w:pPr>
      <w:r w:rsidRPr="00743DDC">
        <w:rPr>
          <w:rFonts w:ascii="Cambria" w:hAnsi="Cambria" w:cs="Times New Roman"/>
          <w:sz w:val="26"/>
          <w:szCs w:val="26"/>
        </w:rPr>
        <w:t>Assim, a Portaria não pode transformar a identificação automatizada em presunção de dívida, o inadimplemento em reconhecimento automático ou a suposta irregularidade em consequência disciplinar previamente definida. A tecnologia pode identificar; a Administração deve verificar; e somente após a adequada apuração, contraditório e decisão é que podem decorrer as consequências juridicamente cabíveis.</w:t>
      </w:r>
      <w:r w:rsidR="00A05F9F" w:rsidRPr="00A05F9F">
        <w:t xml:space="preserve"> </w:t>
      </w:r>
    </w:p>
    <w:p w14:paraId="62396E85" w14:textId="77777777" w:rsidR="00A05F9F" w:rsidRDefault="00A05F9F" w:rsidP="00A05F9F">
      <w:pPr>
        <w:spacing w:line="276" w:lineRule="auto"/>
        <w:jc w:val="both"/>
      </w:pPr>
    </w:p>
    <w:p w14:paraId="06EAE5CF" w14:textId="062FC0F0" w:rsidR="00A05F9F" w:rsidRPr="00A05F9F" w:rsidRDefault="00C028BD" w:rsidP="00A05F9F">
      <w:pPr>
        <w:spacing w:line="276" w:lineRule="auto"/>
        <w:jc w:val="both"/>
        <w:rPr>
          <w:rFonts w:ascii="Cambria" w:hAnsi="Cambria" w:cs="Times New Roman"/>
          <w:b/>
          <w:bCs/>
          <w:sz w:val="26"/>
          <w:szCs w:val="26"/>
        </w:rPr>
      </w:pPr>
      <w:r>
        <w:rPr>
          <w:rFonts w:ascii="Cambria" w:hAnsi="Cambria" w:cs="Times New Roman"/>
          <w:b/>
          <w:bCs/>
          <w:sz w:val="26"/>
          <w:szCs w:val="26"/>
        </w:rPr>
        <w:t>II. D</w:t>
      </w:r>
      <w:r w:rsidRPr="00C028BD">
        <w:rPr>
          <w:rFonts w:ascii="Cambria" w:hAnsi="Cambria" w:cs="Times New Roman"/>
          <w:b/>
          <w:bCs/>
          <w:sz w:val="26"/>
          <w:szCs w:val="26"/>
        </w:rPr>
        <w:t>AS PROVIDÊNCIAS REQUERIDAS AO CFOAB</w:t>
      </w:r>
    </w:p>
    <w:p w14:paraId="2925828F" w14:textId="6BCA50BF" w:rsidR="00A05F9F" w:rsidRPr="00A05F9F" w:rsidRDefault="00A05F9F" w:rsidP="00A05F9F">
      <w:pPr>
        <w:spacing w:line="276" w:lineRule="auto"/>
        <w:ind w:firstLine="567"/>
        <w:jc w:val="both"/>
        <w:rPr>
          <w:rFonts w:ascii="Cambria" w:hAnsi="Cambria" w:cs="Times New Roman"/>
          <w:sz w:val="26"/>
          <w:szCs w:val="26"/>
        </w:rPr>
      </w:pPr>
      <w:r w:rsidRPr="00A05F9F">
        <w:rPr>
          <w:rFonts w:ascii="Cambria" w:hAnsi="Cambria" w:cs="Times New Roman"/>
          <w:sz w:val="26"/>
          <w:szCs w:val="26"/>
        </w:rPr>
        <w:t>Diante do exposto, requer-se ao Conselho Federal da Ordem dos Advogados do Brasil:</w:t>
      </w:r>
    </w:p>
    <w:p w14:paraId="0948830F" w14:textId="4B88B31C" w:rsidR="00A05F9F" w:rsidRPr="00A05F9F" w:rsidRDefault="00A05F9F" w:rsidP="00A05F9F">
      <w:pPr>
        <w:spacing w:line="276" w:lineRule="auto"/>
        <w:ind w:firstLine="567"/>
        <w:jc w:val="both"/>
        <w:rPr>
          <w:rFonts w:ascii="Cambria" w:hAnsi="Cambria" w:cs="Times New Roman"/>
          <w:sz w:val="26"/>
          <w:szCs w:val="26"/>
        </w:rPr>
      </w:pPr>
      <w:r w:rsidRPr="00A05F9F">
        <w:rPr>
          <w:rFonts w:ascii="Cambria" w:hAnsi="Cambria" w:cs="Times New Roman"/>
          <w:sz w:val="26"/>
          <w:szCs w:val="26"/>
        </w:rPr>
        <w:t>a) o recebimento e regular processamento da presente representação, com a adoção das providências necessárias à apuração da compatibilidade da Portaria GDT nº 004/2026, da OAB/SP, com a Lei nº 8.906/1994, o Regulamento Geral, os Provimentos do Conselho Federal e a jurisprudência aplicável;</w:t>
      </w:r>
    </w:p>
    <w:p w14:paraId="39C53D06" w14:textId="564C1F99" w:rsidR="00A05F9F" w:rsidRPr="00A05F9F" w:rsidRDefault="00A05F9F" w:rsidP="00A05F9F">
      <w:pPr>
        <w:spacing w:line="276" w:lineRule="auto"/>
        <w:ind w:firstLine="567"/>
        <w:jc w:val="both"/>
        <w:rPr>
          <w:rFonts w:ascii="Cambria" w:hAnsi="Cambria" w:cs="Times New Roman"/>
          <w:sz w:val="26"/>
          <w:szCs w:val="26"/>
        </w:rPr>
      </w:pPr>
      <w:r w:rsidRPr="00A05F9F">
        <w:rPr>
          <w:rFonts w:ascii="Cambria" w:hAnsi="Cambria" w:cs="Times New Roman"/>
          <w:sz w:val="26"/>
          <w:szCs w:val="26"/>
        </w:rPr>
        <w:t>b) a imediata suspensão dos efeitos da Portaria GDT nº 004/2026, especialmente dos procedimentos de apuração, constituição e cobrança nela previstos, até o exame definitivo de sua compatibilidade com o regime jurídico da inscrição suplementar;</w:t>
      </w:r>
    </w:p>
    <w:p w14:paraId="781023DD" w14:textId="41651609" w:rsidR="00A05F9F" w:rsidRPr="00A05F9F" w:rsidRDefault="00A05F9F" w:rsidP="00A05F9F">
      <w:pPr>
        <w:spacing w:line="276" w:lineRule="auto"/>
        <w:ind w:firstLine="567"/>
        <w:jc w:val="both"/>
        <w:rPr>
          <w:rFonts w:ascii="Cambria" w:hAnsi="Cambria" w:cs="Times New Roman"/>
          <w:sz w:val="26"/>
          <w:szCs w:val="26"/>
        </w:rPr>
      </w:pPr>
      <w:r w:rsidRPr="00A05F9F">
        <w:rPr>
          <w:rFonts w:ascii="Cambria" w:hAnsi="Cambria" w:cs="Times New Roman"/>
          <w:sz w:val="26"/>
          <w:szCs w:val="26"/>
        </w:rPr>
        <w:t>c) durante a suspensão, sejam sustados novos lançamentos, multas, cobranças, protestos, inscrições em cadastros de inadimplentes, atos de execução e encaminhamentos ao Tribunal de Ética e Disciplina decorrentes dos procedimentos instaurados com fundamento na referida Portaria;</w:t>
      </w:r>
    </w:p>
    <w:p w14:paraId="1C13CDF9" w14:textId="5E0B2EDC" w:rsidR="00A05F9F" w:rsidRPr="00A05F9F" w:rsidRDefault="00A05F9F" w:rsidP="00A05F9F">
      <w:pPr>
        <w:spacing w:line="276" w:lineRule="auto"/>
        <w:ind w:firstLine="567"/>
        <w:jc w:val="both"/>
        <w:rPr>
          <w:rFonts w:ascii="Cambria" w:hAnsi="Cambria" w:cs="Times New Roman"/>
          <w:sz w:val="26"/>
          <w:szCs w:val="26"/>
        </w:rPr>
      </w:pPr>
      <w:r w:rsidRPr="00A05F9F">
        <w:rPr>
          <w:rFonts w:ascii="Cambria" w:hAnsi="Cambria" w:cs="Times New Roman"/>
          <w:sz w:val="26"/>
          <w:szCs w:val="26"/>
        </w:rPr>
        <w:t>d) o reconhecimento de que a habitualidade prevista no art. 10, § 2º, da Lei nº 8.906/1994 deve ser aferida em cada ano civil, vedada a acumulação de intervenções realizadas em exercícios distintos para fins de superação do limite de cinco causas;</w:t>
      </w:r>
    </w:p>
    <w:p w14:paraId="091F670E" w14:textId="6E1194B9" w:rsidR="00A05F9F" w:rsidRPr="00A05F9F" w:rsidRDefault="00A05F9F" w:rsidP="00A05F9F">
      <w:pPr>
        <w:spacing w:line="276" w:lineRule="auto"/>
        <w:ind w:firstLine="567"/>
        <w:jc w:val="both"/>
        <w:rPr>
          <w:rFonts w:ascii="Cambria" w:hAnsi="Cambria" w:cs="Times New Roman"/>
          <w:sz w:val="26"/>
          <w:szCs w:val="26"/>
        </w:rPr>
      </w:pPr>
      <w:r w:rsidRPr="00A05F9F">
        <w:rPr>
          <w:rFonts w:ascii="Cambria" w:hAnsi="Cambria" w:cs="Times New Roman"/>
          <w:sz w:val="26"/>
          <w:szCs w:val="26"/>
        </w:rPr>
        <w:t xml:space="preserve">e) em consequência, seja determinada à OAB/SP a revisão dos débitos, multas e demais consequências já constituídos com fundamento na acumulação plurianual prevista no art. 3º, § 1º, da Portaria, com o </w:t>
      </w:r>
      <w:r w:rsidRPr="00A05F9F">
        <w:rPr>
          <w:rFonts w:ascii="Cambria" w:hAnsi="Cambria" w:cs="Times New Roman"/>
          <w:sz w:val="26"/>
          <w:szCs w:val="26"/>
        </w:rPr>
        <w:lastRenderedPageBreak/>
        <w:t>cancelamento daqueles que não subsistam após a aplicação do critério legal anual;</w:t>
      </w:r>
    </w:p>
    <w:p w14:paraId="54C7F21C" w14:textId="33835F24" w:rsidR="00A05F9F" w:rsidRPr="00A05F9F" w:rsidRDefault="00A05F9F" w:rsidP="00A05F9F">
      <w:pPr>
        <w:spacing w:line="276" w:lineRule="auto"/>
        <w:ind w:firstLine="567"/>
        <w:jc w:val="both"/>
        <w:rPr>
          <w:rFonts w:ascii="Cambria" w:hAnsi="Cambria" w:cs="Times New Roman"/>
          <w:sz w:val="26"/>
          <w:szCs w:val="26"/>
        </w:rPr>
      </w:pPr>
      <w:r w:rsidRPr="00A05F9F">
        <w:rPr>
          <w:rFonts w:ascii="Cambria" w:hAnsi="Cambria" w:cs="Times New Roman"/>
          <w:sz w:val="26"/>
          <w:szCs w:val="26"/>
        </w:rPr>
        <w:t>f) seja determinada a revisão das cobranças relativas a períodos anteriores, assegurando-se a observância dos prazos prescricionais e dos demais limites temporais aplicáveis à exigibilidade dos créditos, com o cancelamento daqueles atingidos pela prescrição;</w:t>
      </w:r>
    </w:p>
    <w:p w14:paraId="3853D8BB" w14:textId="51E5AB23" w:rsidR="00A05F9F" w:rsidRPr="00A05F9F" w:rsidRDefault="00A05F9F" w:rsidP="00A05F9F">
      <w:pPr>
        <w:spacing w:line="276" w:lineRule="auto"/>
        <w:ind w:firstLine="567"/>
        <w:jc w:val="both"/>
        <w:rPr>
          <w:rFonts w:ascii="Cambria" w:hAnsi="Cambria" w:cs="Times New Roman"/>
          <w:sz w:val="26"/>
          <w:szCs w:val="26"/>
        </w:rPr>
      </w:pPr>
      <w:r w:rsidRPr="00A05F9F">
        <w:rPr>
          <w:rFonts w:ascii="Cambria" w:hAnsi="Cambria" w:cs="Times New Roman"/>
          <w:sz w:val="26"/>
          <w:szCs w:val="26"/>
        </w:rPr>
        <w:t>g) seja afastada a exigência prevista no art. 14 da Portaria que condiciona o acesso ao procedimento de inscrição suplementar à quitação integral de multa, débito e taxas, de modo que a regularização profissional não seja utilizada como instrumento indireto de cobrança patrimonial;</w:t>
      </w:r>
    </w:p>
    <w:p w14:paraId="52DA338F" w14:textId="72E34D5B" w:rsidR="00A05F9F" w:rsidRPr="00A05F9F" w:rsidRDefault="00A05F9F" w:rsidP="00A05F9F">
      <w:pPr>
        <w:spacing w:line="276" w:lineRule="auto"/>
        <w:ind w:firstLine="567"/>
        <w:jc w:val="both"/>
        <w:rPr>
          <w:rFonts w:ascii="Cambria" w:hAnsi="Cambria" w:cs="Times New Roman"/>
          <w:sz w:val="26"/>
          <w:szCs w:val="26"/>
        </w:rPr>
      </w:pPr>
      <w:r w:rsidRPr="00A05F9F">
        <w:rPr>
          <w:rFonts w:ascii="Cambria" w:hAnsi="Cambria" w:cs="Times New Roman"/>
          <w:sz w:val="26"/>
          <w:szCs w:val="26"/>
        </w:rPr>
        <w:t>h) seja determinado que a identificação realizada por sistemas eletrônicos ou ferramentas tecnológicas não seja considerada, por si só, prova suficiente da habitualidade ou da constituição do débito, devendo cada intervenção ser individualizada e confrontada com os critérios legais e as hipóteses de exclusão aplicáveis;</w:t>
      </w:r>
    </w:p>
    <w:p w14:paraId="3DF9DA60" w14:textId="6AF57EAE" w:rsidR="00A05F9F" w:rsidRPr="00A05F9F" w:rsidRDefault="00A05F9F" w:rsidP="00A05F9F">
      <w:pPr>
        <w:spacing w:line="276" w:lineRule="auto"/>
        <w:ind w:firstLine="567"/>
        <w:jc w:val="both"/>
        <w:rPr>
          <w:rFonts w:ascii="Cambria" w:hAnsi="Cambria" w:cs="Times New Roman"/>
          <w:sz w:val="26"/>
          <w:szCs w:val="26"/>
        </w:rPr>
      </w:pPr>
      <w:r w:rsidRPr="00A05F9F">
        <w:rPr>
          <w:rFonts w:ascii="Cambria" w:hAnsi="Cambria" w:cs="Times New Roman"/>
          <w:sz w:val="26"/>
          <w:szCs w:val="26"/>
        </w:rPr>
        <w:t>i) seja assegurado aos advogados atingidos pelo procedimento efetivo direito de contestação, com possibilidade de apresentação de documentos e análise individualizada das alegações,</w:t>
      </w:r>
      <w:r>
        <w:rPr>
          <w:rFonts w:ascii="Cambria" w:hAnsi="Cambria" w:cs="Times New Roman"/>
          <w:sz w:val="26"/>
          <w:szCs w:val="26"/>
        </w:rPr>
        <w:t xml:space="preserve"> de forma rápida e segura,</w:t>
      </w:r>
      <w:r w:rsidRPr="00A05F9F">
        <w:rPr>
          <w:rFonts w:ascii="Cambria" w:hAnsi="Cambria" w:cs="Times New Roman"/>
          <w:sz w:val="26"/>
          <w:szCs w:val="26"/>
        </w:rPr>
        <w:t xml:space="preserve"> vedada a constituição definitiva do débito com base em presunções que substituam a comprovação do fato gerador da obrigação;</w:t>
      </w:r>
    </w:p>
    <w:p w14:paraId="4460D0A9" w14:textId="6709BAC4" w:rsidR="00A05F9F" w:rsidRPr="00A05F9F" w:rsidRDefault="00A05F9F" w:rsidP="00A05F9F">
      <w:pPr>
        <w:spacing w:line="276" w:lineRule="auto"/>
        <w:ind w:firstLine="567"/>
        <w:jc w:val="both"/>
        <w:rPr>
          <w:rFonts w:ascii="Cambria" w:hAnsi="Cambria" w:cs="Times New Roman"/>
          <w:sz w:val="26"/>
          <w:szCs w:val="26"/>
        </w:rPr>
      </w:pPr>
      <w:r w:rsidRPr="00A05F9F">
        <w:rPr>
          <w:rFonts w:ascii="Cambria" w:hAnsi="Cambria" w:cs="Times New Roman"/>
          <w:sz w:val="26"/>
          <w:szCs w:val="26"/>
        </w:rPr>
        <w:t>j) seja afastada a atribuição de efeito automático de reconhecimento da dívida ao simples inadimplemento, bem como a utilização de termo de adesão ou reconhecimento para consolidar obrigação cuja própria existência, extensão ou exigibilidade ainda esteja controvertida;</w:t>
      </w:r>
    </w:p>
    <w:p w14:paraId="7CB6D2A5" w14:textId="7B4EDE38" w:rsidR="00A05F9F" w:rsidRPr="00A05F9F" w:rsidRDefault="00A05F9F" w:rsidP="00A05F9F">
      <w:pPr>
        <w:spacing w:line="276" w:lineRule="auto"/>
        <w:ind w:firstLine="567"/>
        <w:jc w:val="both"/>
        <w:rPr>
          <w:rFonts w:ascii="Cambria" w:hAnsi="Cambria" w:cs="Times New Roman"/>
          <w:sz w:val="26"/>
          <w:szCs w:val="26"/>
        </w:rPr>
      </w:pPr>
      <w:r w:rsidRPr="00A05F9F">
        <w:rPr>
          <w:rFonts w:ascii="Cambria" w:hAnsi="Cambria" w:cs="Times New Roman"/>
          <w:sz w:val="26"/>
          <w:szCs w:val="26"/>
        </w:rPr>
        <w:t>k) seja reconhecido que a cobrança de eventual crédito patrimonial e a apuração de eventual infração disciplinar constituem esferas distintas, vedando-se o encaminhamento automático ao Tribunal de Ética e Disciplina pelo simples não pagamento ou pela existência de débito ainda sujeito a controvérsia administrativa;</w:t>
      </w:r>
    </w:p>
    <w:p w14:paraId="24DAE70C" w14:textId="1BB01590" w:rsidR="00A05F9F" w:rsidRPr="00A05F9F" w:rsidRDefault="00A05F9F" w:rsidP="00A05F9F">
      <w:pPr>
        <w:spacing w:line="276" w:lineRule="auto"/>
        <w:ind w:firstLine="567"/>
        <w:jc w:val="both"/>
        <w:rPr>
          <w:rFonts w:ascii="Cambria" w:hAnsi="Cambria" w:cs="Times New Roman"/>
          <w:sz w:val="26"/>
          <w:szCs w:val="26"/>
        </w:rPr>
      </w:pPr>
      <w:r w:rsidRPr="00A05F9F">
        <w:rPr>
          <w:rFonts w:ascii="Cambria" w:hAnsi="Cambria" w:cs="Times New Roman"/>
          <w:sz w:val="26"/>
          <w:szCs w:val="26"/>
        </w:rPr>
        <w:t>l) seja determinada a revisão dos procedimentos já instaurados pela OAB/SP, especialmente daqueles em que a cobrança tenha decorrido de acumulação de exercícios, de intervenções não computáveis, de períodos cuja exigibilidade esteja prescrita ou de registros eletrônicos sem demonstração individualizada da efetiva intervenção judicial;</w:t>
      </w:r>
    </w:p>
    <w:p w14:paraId="00AECC20" w14:textId="4D37FBAB" w:rsidR="00A05F9F" w:rsidRPr="00A05F9F" w:rsidRDefault="00A05F9F" w:rsidP="00A05F9F">
      <w:pPr>
        <w:spacing w:line="276" w:lineRule="auto"/>
        <w:ind w:firstLine="567"/>
        <w:jc w:val="both"/>
        <w:rPr>
          <w:rFonts w:ascii="Cambria" w:hAnsi="Cambria" w:cs="Times New Roman"/>
          <w:sz w:val="26"/>
          <w:szCs w:val="26"/>
        </w:rPr>
      </w:pPr>
      <w:r w:rsidRPr="00A05F9F">
        <w:rPr>
          <w:rFonts w:ascii="Cambria" w:hAnsi="Cambria" w:cs="Times New Roman"/>
          <w:sz w:val="26"/>
          <w:szCs w:val="26"/>
        </w:rPr>
        <w:t xml:space="preserve">m) sejam preservados os direitos dos advogados que já tenham apresentado contestação ou defesa, inclusive quanto aos documentos apresentados, prazos e demais manifestações realizadas no âmbito do </w:t>
      </w:r>
      <w:r w:rsidRPr="00A05F9F">
        <w:rPr>
          <w:rFonts w:ascii="Cambria" w:hAnsi="Cambria" w:cs="Times New Roman"/>
          <w:sz w:val="26"/>
          <w:szCs w:val="26"/>
        </w:rPr>
        <w:lastRenderedPageBreak/>
        <w:t>procedimento, sem que a revisão da metodologia lhes acarrete qualquer prejuízo;</w:t>
      </w:r>
    </w:p>
    <w:p w14:paraId="55702B7A" w14:textId="77BEBE76" w:rsidR="00A05F9F" w:rsidRPr="00A05F9F" w:rsidRDefault="00A05F9F" w:rsidP="00A05F9F">
      <w:pPr>
        <w:spacing w:line="276" w:lineRule="auto"/>
        <w:ind w:firstLine="567"/>
        <w:jc w:val="both"/>
        <w:rPr>
          <w:rFonts w:ascii="Cambria" w:hAnsi="Cambria" w:cs="Times New Roman"/>
          <w:sz w:val="26"/>
          <w:szCs w:val="26"/>
        </w:rPr>
      </w:pPr>
      <w:r w:rsidRPr="00A05F9F">
        <w:rPr>
          <w:rFonts w:ascii="Cambria" w:hAnsi="Cambria" w:cs="Times New Roman"/>
          <w:sz w:val="26"/>
          <w:szCs w:val="26"/>
        </w:rPr>
        <w:t>n) ao final, no exercício da competência prevista no art. 54, VIII, da Lei nº 8.906/1994, seja determinada a cassação ou modificação dos dispositivos da Portaria GDT nº 004/2026 que contrariem o Estatuto da Advocacia, os Provimentos do Conselho Federal ou a jurisprudência do CFOAB, especialmente aqueles que permitam a acumulação plurianual de causas ou condicionem a regularização profissional ao pagamento de débito;</w:t>
      </w:r>
    </w:p>
    <w:p w14:paraId="0F27E918" w14:textId="6B9DB1EC" w:rsidR="00A05F9F" w:rsidRPr="00A05F9F" w:rsidRDefault="00A05F9F" w:rsidP="00A05F9F">
      <w:pPr>
        <w:spacing w:line="276" w:lineRule="auto"/>
        <w:ind w:firstLine="567"/>
        <w:jc w:val="both"/>
        <w:rPr>
          <w:rFonts w:ascii="Cambria" w:hAnsi="Cambria" w:cs="Times New Roman"/>
          <w:sz w:val="26"/>
          <w:szCs w:val="26"/>
        </w:rPr>
      </w:pPr>
      <w:r w:rsidRPr="00A05F9F">
        <w:rPr>
          <w:rFonts w:ascii="Cambria" w:hAnsi="Cambria" w:cs="Times New Roman"/>
          <w:sz w:val="26"/>
          <w:szCs w:val="26"/>
        </w:rPr>
        <w:t>o) seja, por fim, estabelecida orientação pelo Conselho Federal às Seccionais da Ordem dos Advogados do Brasil quanto à correta aplicação do art. 10, § 2º, da Lei nº 8.906/1994 e do Provimento CFOAB nº 178/2017, especialmente quanto ao caráter anual do limite de cinco causas e à necessidade de apuração individualizada das intervenções computáveis.</w:t>
      </w:r>
    </w:p>
    <w:p w14:paraId="6A77C36E" w14:textId="0925FC36" w:rsidR="00743DDC" w:rsidRDefault="00A05F9F" w:rsidP="00A05F9F">
      <w:pPr>
        <w:spacing w:line="276" w:lineRule="auto"/>
        <w:ind w:firstLine="567"/>
        <w:jc w:val="both"/>
        <w:rPr>
          <w:rFonts w:ascii="Cambria" w:hAnsi="Cambria" w:cs="Times New Roman"/>
          <w:sz w:val="26"/>
          <w:szCs w:val="26"/>
        </w:rPr>
      </w:pPr>
      <w:r w:rsidRPr="00A05F9F">
        <w:rPr>
          <w:rFonts w:ascii="Cambria" w:hAnsi="Cambria" w:cs="Times New Roman"/>
          <w:sz w:val="26"/>
          <w:szCs w:val="26"/>
        </w:rPr>
        <w:t>Requer-se, ainda, que as providências adotadas e a decisão proferida sejam formalmente comunicadas ao representante, com a indicação das medidas determinadas à OAB/SP para cumprimento da decisão.</w:t>
      </w:r>
    </w:p>
    <w:p w14:paraId="38E7D52D" w14:textId="6DA13BF6" w:rsidR="000A79D6" w:rsidRDefault="000A79D6" w:rsidP="00A05F9F">
      <w:pPr>
        <w:spacing w:line="276" w:lineRule="auto"/>
        <w:ind w:firstLine="567"/>
        <w:jc w:val="both"/>
        <w:rPr>
          <w:rFonts w:ascii="Cambria" w:hAnsi="Cambria" w:cs="Times New Roman"/>
          <w:sz w:val="26"/>
          <w:szCs w:val="26"/>
        </w:rPr>
      </w:pPr>
      <w:r>
        <w:rPr>
          <w:rFonts w:ascii="Cambria" w:hAnsi="Cambria" w:cs="Times New Roman"/>
          <w:sz w:val="26"/>
          <w:szCs w:val="26"/>
        </w:rPr>
        <w:t>Fortaleza – CE, 01 de outubro de 2026.</w:t>
      </w:r>
    </w:p>
    <w:p w14:paraId="024E901C" w14:textId="77777777" w:rsidR="000A79D6" w:rsidRDefault="000A79D6" w:rsidP="00A05F9F">
      <w:pPr>
        <w:spacing w:line="276" w:lineRule="auto"/>
        <w:ind w:firstLine="567"/>
        <w:jc w:val="both"/>
        <w:rPr>
          <w:rFonts w:ascii="Cambria" w:hAnsi="Cambria" w:cs="Times New Roman"/>
          <w:sz w:val="26"/>
          <w:szCs w:val="26"/>
        </w:rPr>
      </w:pPr>
    </w:p>
    <w:p w14:paraId="24643D09" w14:textId="77777777" w:rsidR="000A79D6" w:rsidRDefault="000A79D6" w:rsidP="000A79D6">
      <w:pPr>
        <w:spacing w:after="0" w:line="276" w:lineRule="auto"/>
        <w:jc w:val="center"/>
        <w:rPr>
          <w:rFonts w:ascii="Cambria" w:hAnsi="Cambria" w:cs="Times New Roman"/>
          <w:sz w:val="26"/>
          <w:szCs w:val="26"/>
        </w:rPr>
      </w:pPr>
    </w:p>
    <w:p w14:paraId="32EF8B5A" w14:textId="5BA81AE2" w:rsidR="000A79D6" w:rsidRPr="00EC0A02" w:rsidRDefault="00110806" w:rsidP="000A79D6">
      <w:pPr>
        <w:spacing w:after="0" w:line="240" w:lineRule="auto"/>
        <w:jc w:val="center"/>
        <w:rPr>
          <w:rFonts w:ascii="Cambria" w:hAnsi="Cambria" w:cs="Times New Roman"/>
          <w:b/>
          <w:bCs/>
          <w:sz w:val="26"/>
          <w:szCs w:val="26"/>
        </w:rPr>
      </w:pPr>
      <w:r w:rsidRPr="00EC0A02">
        <w:rPr>
          <w:rFonts w:ascii="Cambria" w:hAnsi="Cambria" w:cs="Times New Roman"/>
          <w:b/>
          <w:bCs/>
          <w:sz w:val="26"/>
          <w:szCs w:val="26"/>
        </w:rPr>
        <w:t>FULANO DE TAL SILVA</w:t>
      </w:r>
    </w:p>
    <w:p w14:paraId="34E9CAF3" w14:textId="169A1398" w:rsidR="000A79D6" w:rsidRPr="00EC0A02" w:rsidRDefault="00EC0A02" w:rsidP="000A79D6">
      <w:pPr>
        <w:spacing w:after="0" w:line="240" w:lineRule="auto"/>
        <w:jc w:val="center"/>
        <w:rPr>
          <w:rFonts w:ascii="Cambria" w:hAnsi="Cambria" w:cs="Times New Roman"/>
          <w:sz w:val="26"/>
          <w:szCs w:val="26"/>
        </w:rPr>
      </w:pPr>
      <w:r w:rsidRPr="00EC0A02">
        <w:rPr>
          <w:rFonts w:ascii="Cambria" w:hAnsi="Cambria" w:cs="Times New Roman"/>
          <w:sz w:val="26"/>
          <w:szCs w:val="26"/>
        </w:rPr>
        <w:t>OAB/CE 99.999</w:t>
      </w:r>
      <w:r w:rsidR="000A79D6" w:rsidRPr="00EC0A02">
        <w:rPr>
          <w:rFonts w:ascii="Cambria" w:hAnsi="Cambria" w:cs="Times New Roman"/>
          <w:sz w:val="26"/>
          <w:szCs w:val="26"/>
        </w:rPr>
        <w:t xml:space="preserve"> </w:t>
      </w:r>
    </w:p>
    <w:p w14:paraId="7E891E55" w14:textId="77777777" w:rsidR="000A79D6" w:rsidRDefault="000A79D6" w:rsidP="00A05F9F">
      <w:pPr>
        <w:spacing w:line="276" w:lineRule="auto"/>
        <w:ind w:firstLine="567"/>
        <w:jc w:val="both"/>
        <w:rPr>
          <w:rFonts w:ascii="Cambria" w:hAnsi="Cambria" w:cs="Times New Roman"/>
          <w:sz w:val="26"/>
          <w:szCs w:val="26"/>
        </w:rPr>
      </w:pPr>
    </w:p>
    <w:p w14:paraId="4041453D" w14:textId="77777777" w:rsidR="00743DDC" w:rsidRDefault="00743DDC" w:rsidP="00743DDC">
      <w:pPr>
        <w:spacing w:line="276" w:lineRule="auto"/>
        <w:ind w:firstLine="567"/>
        <w:jc w:val="both"/>
        <w:rPr>
          <w:rFonts w:ascii="Segoe UI Semibold" w:hAnsi="Segoe UI Semibold" w:cs="Segoe UI Semibold"/>
          <w:b/>
          <w:bCs/>
          <w:sz w:val="24"/>
          <w:szCs w:val="24"/>
        </w:rPr>
      </w:pPr>
    </w:p>
    <w:sectPr w:rsidR="00743DDC" w:rsidSect="005B3332">
      <w:pgSz w:w="11906" w:h="16838"/>
      <w:pgMar w:top="1985" w:right="1701" w:bottom="568" w:left="1701" w:header="708" w:footer="11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5C478" w14:textId="77777777" w:rsidR="008B5D02" w:rsidRDefault="008B5D02" w:rsidP="001B1765">
      <w:pPr>
        <w:spacing w:after="0" w:line="240" w:lineRule="auto"/>
      </w:pPr>
      <w:r>
        <w:separator/>
      </w:r>
    </w:p>
  </w:endnote>
  <w:endnote w:type="continuationSeparator" w:id="0">
    <w:p w14:paraId="63E43111" w14:textId="77777777" w:rsidR="008B5D02" w:rsidRDefault="008B5D02" w:rsidP="001B17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EEA90D" w14:textId="77777777" w:rsidR="008B5D02" w:rsidRDefault="008B5D02" w:rsidP="001B1765">
      <w:pPr>
        <w:spacing w:after="0" w:line="240" w:lineRule="auto"/>
      </w:pPr>
      <w:r>
        <w:separator/>
      </w:r>
    </w:p>
  </w:footnote>
  <w:footnote w:type="continuationSeparator" w:id="0">
    <w:p w14:paraId="53C6BDE7" w14:textId="77777777" w:rsidR="008B5D02" w:rsidRDefault="008B5D02" w:rsidP="001B176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765"/>
    <w:rsid w:val="00014881"/>
    <w:rsid w:val="00043B03"/>
    <w:rsid w:val="00057CFF"/>
    <w:rsid w:val="00064C1F"/>
    <w:rsid w:val="00066EEE"/>
    <w:rsid w:val="00071475"/>
    <w:rsid w:val="0008304C"/>
    <w:rsid w:val="000A79D6"/>
    <w:rsid w:val="000A7B3E"/>
    <w:rsid w:val="000B7C48"/>
    <w:rsid w:val="000D0234"/>
    <w:rsid w:val="00110806"/>
    <w:rsid w:val="001124E9"/>
    <w:rsid w:val="00114D34"/>
    <w:rsid w:val="0015370F"/>
    <w:rsid w:val="001B1765"/>
    <w:rsid w:val="001B7E6A"/>
    <w:rsid w:val="00245667"/>
    <w:rsid w:val="002760B2"/>
    <w:rsid w:val="00276A49"/>
    <w:rsid w:val="002A641E"/>
    <w:rsid w:val="002C1103"/>
    <w:rsid w:val="002E32AA"/>
    <w:rsid w:val="002F40E1"/>
    <w:rsid w:val="002F663F"/>
    <w:rsid w:val="0034600C"/>
    <w:rsid w:val="00404762"/>
    <w:rsid w:val="00416004"/>
    <w:rsid w:val="00423D6A"/>
    <w:rsid w:val="00435853"/>
    <w:rsid w:val="00442C5E"/>
    <w:rsid w:val="00471491"/>
    <w:rsid w:val="00495BA5"/>
    <w:rsid w:val="004A3AF7"/>
    <w:rsid w:val="004D1B58"/>
    <w:rsid w:val="004F5FE2"/>
    <w:rsid w:val="00544302"/>
    <w:rsid w:val="00544ABB"/>
    <w:rsid w:val="005B3332"/>
    <w:rsid w:val="005C7887"/>
    <w:rsid w:val="006055ED"/>
    <w:rsid w:val="00621EED"/>
    <w:rsid w:val="00627C15"/>
    <w:rsid w:val="00677D9B"/>
    <w:rsid w:val="0069161B"/>
    <w:rsid w:val="006D363B"/>
    <w:rsid w:val="006F2BAD"/>
    <w:rsid w:val="00713401"/>
    <w:rsid w:val="00743DDC"/>
    <w:rsid w:val="007522E8"/>
    <w:rsid w:val="00771F72"/>
    <w:rsid w:val="00790DAF"/>
    <w:rsid w:val="0086538A"/>
    <w:rsid w:val="00866FB8"/>
    <w:rsid w:val="008B080E"/>
    <w:rsid w:val="008B43D7"/>
    <w:rsid w:val="008B5D02"/>
    <w:rsid w:val="008C4AA0"/>
    <w:rsid w:val="008D38D5"/>
    <w:rsid w:val="008F7346"/>
    <w:rsid w:val="0091542B"/>
    <w:rsid w:val="0091669F"/>
    <w:rsid w:val="00930098"/>
    <w:rsid w:val="009459E9"/>
    <w:rsid w:val="009B2095"/>
    <w:rsid w:val="009C501A"/>
    <w:rsid w:val="00A05F9F"/>
    <w:rsid w:val="00A64718"/>
    <w:rsid w:val="00A74ECA"/>
    <w:rsid w:val="00A81688"/>
    <w:rsid w:val="00B7314A"/>
    <w:rsid w:val="00B87DAE"/>
    <w:rsid w:val="00C011B8"/>
    <w:rsid w:val="00C028BD"/>
    <w:rsid w:val="00C86E99"/>
    <w:rsid w:val="00CF5D66"/>
    <w:rsid w:val="00D43CBC"/>
    <w:rsid w:val="00D57EF6"/>
    <w:rsid w:val="00D723F8"/>
    <w:rsid w:val="00D9190C"/>
    <w:rsid w:val="00DD3A23"/>
    <w:rsid w:val="00E877D0"/>
    <w:rsid w:val="00E909EE"/>
    <w:rsid w:val="00E94BB0"/>
    <w:rsid w:val="00EA271A"/>
    <w:rsid w:val="00EC0A02"/>
    <w:rsid w:val="00EF2023"/>
    <w:rsid w:val="00F92C9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C97C43"/>
  <w15:chartTrackingRefBased/>
  <w15:docId w15:val="{3A4A1FB7-F27F-4B50-AA6A-A9A228F05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1B176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B1765"/>
  </w:style>
  <w:style w:type="paragraph" w:styleId="Rodap">
    <w:name w:val="footer"/>
    <w:basedOn w:val="Normal"/>
    <w:link w:val="RodapChar"/>
    <w:uiPriority w:val="99"/>
    <w:unhideWhenUsed/>
    <w:rsid w:val="001B1765"/>
    <w:pPr>
      <w:tabs>
        <w:tab w:val="center" w:pos="4252"/>
        <w:tab w:val="right" w:pos="8504"/>
      </w:tabs>
      <w:spacing w:after="0" w:line="240" w:lineRule="auto"/>
    </w:pPr>
  </w:style>
  <w:style w:type="character" w:customStyle="1" w:styleId="RodapChar">
    <w:name w:val="Rodapé Char"/>
    <w:basedOn w:val="Fontepargpadro"/>
    <w:link w:val="Rodap"/>
    <w:uiPriority w:val="99"/>
    <w:rsid w:val="001B17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2B1C08-9C0E-4254-97CF-4ECB0773C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884</TotalTime>
  <Pages>9</Pages>
  <Words>3108</Words>
  <Characters>16787</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Pichau</dc:creator>
  <cp:keywords/>
  <dc:description/>
  <cp:lastModifiedBy>Hélio Costa</cp:lastModifiedBy>
  <cp:revision>29</cp:revision>
  <cp:lastPrinted>2025-10-28T10:42:00Z</cp:lastPrinted>
  <dcterms:created xsi:type="dcterms:W3CDTF">2025-10-28T10:05:00Z</dcterms:created>
  <dcterms:modified xsi:type="dcterms:W3CDTF">2026-10-01T22:12:00Z</dcterms:modified>
</cp:coreProperties>
</file>